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b/>
        </w:rPr>
      </w:pPr>
      <w:r>
        <w:rPr>
          <w:b/>
        </w:rPr>
        <w:t>Background</w:t>
      </w:r>
    </w:p>
    <w:p>
      <w:pPr>
        <w:pStyle w:val="8"/>
      </w:pPr>
      <w:r>
        <w:t xml:space="preserve">In early July 2022 the new Parish Meeting </w:t>
      </w:r>
      <w:r>
        <w:rPr>
          <w:lang w:val="en-GB"/>
        </w:rPr>
        <w:t>Chair</w:t>
      </w:r>
      <w:r>
        <w:t xml:space="preserve"> invited all residents known to the Parish Clerk records to comment on issues of concern or interest. This was undertaken by email where it was known and by postal questionnaire. Additionally, the Parish </w:t>
      </w:r>
      <w:r>
        <w:rPr>
          <w:lang w:val="en-GB"/>
        </w:rPr>
        <w:t>Chair</w:t>
      </w:r>
      <w:r>
        <w:t xml:space="preserve"> invited all residents to participate in two ‘drop in’ meetings at the Hall for the same purpose. </w:t>
      </w:r>
    </w:p>
    <w:p>
      <w:pPr>
        <w:pStyle w:val="8"/>
      </w:pPr>
    </w:p>
    <w:p>
      <w:r>
        <w:t>By the deadline of 19</w:t>
      </w:r>
      <w:r>
        <w:rPr>
          <w:vertAlign w:val="superscript"/>
        </w:rPr>
        <w:t>th</w:t>
      </w:r>
      <w:r>
        <w:t xml:space="preserve"> July 25 completed questionnaires were received and 10 people attended the 2 drop ins. Roughly 50% of the community commented. Residents were asked to identify their top 3 issues for the Parish to consider. Residents were asked to forward issues related to the Hall and its management directly to the Hall committee. A number of Hall issues were received which are shown below.      </w:t>
      </w:r>
    </w:p>
    <w:p>
      <w:pPr>
        <w:rPr>
          <w:b/>
        </w:rPr>
      </w:pPr>
      <w:r>
        <w:t xml:space="preserve">Some residents provided extended points and comments. We have retained the originals but some are shown in the appendix as an illustration only. </w:t>
      </w:r>
    </w:p>
    <w:p>
      <w:r>
        <w:t xml:space="preserve">The table below captures the gist of the comments received and the volume of interest in the various topics. I have grouped them under 4 broad headings although many cross over.  I have also </w:t>
      </w:r>
      <w:r>
        <w:rPr>
          <w:shd w:val="clear" w:color="auto" w:fill="C5E0B3" w:themeFill="accent6" w:themeFillTint="66"/>
        </w:rPr>
        <w:t xml:space="preserve">highlighted </w:t>
      </w:r>
      <w:r>
        <w:t xml:space="preserve">those areas which received the largest interest – although this does not mean those with low numbers are of low priority.  If you contributed to the questionnaire and/or ‘drop in’, and do not feel your comment is captured below, please contact the Parish </w:t>
      </w:r>
      <w:bookmarkStart w:id="0" w:name="_GoBack"/>
      <w:r>
        <w:rPr>
          <w:lang w:val="en-GB"/>
        </w:rPr>
        <w:t>Chair</w:t>
      </w:r>
      <w:bookmarkEnd w:id="0"/>
      <w:r>
        <w:t xml:space="preserve"> by email by 31</w:t>
      </w:r>
      <w:r>
        <w:rPr>
          <w:vertAlign w:val="superscript"/>
        </w:rPr>
        <w:t>st</w:t>
      </w:r>
      <w:r>
        <w:t xml:space="preserve"> July – see </w:t>
      </w:r>
      <w:r>
        <w:rPr>
          <w:lang w:val="en-GB"/>
        </w:rPr>
        <w:t>Chair</w:t>
      </w:r>
      <w:r>
        <w:t xml:space="preserve"> email below. If for some reason you were not contacted by either email or post, please email the Parish Clerk with you name/address.  </w:t>
      </w:r>
    </w:p>
    <w:p>
      <w:pPr>
        <w:pStyle w:val="8"/>
        <w:rPr>
          <w:b/>
        </w:rPr>
      </w:pPr>
      <w:r>
        <w:rPr>
          <w:b/>
        </w:rPr>
        <w:t xml:space="preserve">Next Steps </w:t>
      </w:r>
    </w:p>
    <w:p>
      <w:pPr>
        <w:pStyle w:val="8"/>
      </w:pPr>
      <w:r>
        <w:t>I promised to publish the results by email to residents (where we have it and the resident has agreed we can use it) and publish also on the Peckforton web site. Over August I plan to consider the establishment of a few ‘working parties’ to address some of the topics and to invite volunteers.  Currently it is planned to discuss this at the next formal Parish Meeting on 20</w:t>
      </w:r>
      <w:r>
        <w:rPr>
          <w:vertAlign w:val="superscript"/>
        </w:rPr>
        <w:t>th</w:t>
      </w:r>
      <w:r>
        <w:t xml:space="preserve"> September – although an earlier one may be called to progress these earlier. </w:t>
      </w:r>
    </w:p>
    <w:p>
      <w:pPr>
        <w:pStyle w:val="8"/>
      </w:pPr>
    </w:p>
    <w:p>
      <w:pPr>
        <w:pStyle w:val="8"/>
      </w:pPr>
      <w:r>
        <w:t xml:space="preserve">Thanks to all who took the time to respond. </w:t>
      </w:r>
    </w:p>
    <w:p>
      <w:pPr>
        <w:pStyle w:val="8"/>
      </w:pPr>
    </w:p>
    <w:p>
      <w:pPr>
        <w:pStyle w:val="8"/>
      </w:pPr>
    </w:p>
    <w:p>
      <w:pPr>
        <w:pStyle w:val="8"/>
      </w:pPr>
      <w:r>
        <w:t xml:space="preserve">John Doyle </w:t>
      </w:r>
    </w:p>
    <w:p>
      <w:pPr>
        <w:pStyle w:val="8"/>
      </w:pPr>
      <w:r>
        <w:t xml:space="preserve">Peckforton Parish </w:t>
      </w:r>
      <w:r>
        <w:rPr>
          <w:lang w:val="en-GB"/>
        </w:rPr>
        <w:t>Chair</w:t>
      </w:r>
      <w:r>
        <w:t xml:space="preserve"> </w:t>
      </w:r>
    </w:p>
    <w:p>
      <w:pPr>
        <w:pStyle w:val="8"/>
      </w:pPr>
    </w:p>
    <w:p>
      <w:pPr>
        <w:pStyle w:val="8"/>
      </w:pPr>
      <w:r>
        <w:t xml:space="preserve">Parish </w:t>
      </w:r>
      <w:r>
        <w:rPr>
          <w:lang w:val="en-GB"/>
        </w:rPr>
        <w:t>Chair</w:t>
      </w:r>
      <w:r>
        <w:t xml:space="preserve"> </w:t>
      </w:r>
      <w:r>
        <w:fldChar w:fldCharType="begin"/>
      </w:r>
      <w:r>
        <w:instrText xml:space="preserve"> HYPERLINK "mailto:peckfortonparishchair@gmail.com" </w:instrText>
      </w:r>
      <w:r>
        <w:fldChar w:fldCharType="separate"/>
      </w:r>
      <w:r>
        <w:rPr>
          <w:rStyle w:val="6"/>
        </w:rPr>
        <w:t>peckfortonparish</w:t>
      </w:r>
      <w:r>
        <w:rPr>
          <w:rStyle w:val="6"/>
          <w:lang w:val="en-GB"/>
        </w:rPr>
        <w:t>Chair</w:t>
      </w:r>
      <w:r>
        <w:rPr>
          <w:rStyle w:val="6"/>
        </w:rPr>
        <w:t>@gmail.com</w:t>
      </w:r>
      <w:r>
        <w:rPr>
          <w:rStyle w:val="6"/>
        </w:rPr>
        <w:fldChar w:fldCharType="end"/>
      </w:r>
    </w:p>
    <w:p>
      <w:r>
        <w:t xml:space="preserve">Parish Clerk </w:t>
      </w:r>
      <w:r>
        <w:fldChar w:fldCharType="begin"/>
      </w:r>
      <w:r>
        <w:instrText xml:space="preserve"> HYPERLINK "mailto:peckfortonparishclerk@gmail.com" </w:instrText>
      </w:r>
      <w:r>
        <w:fldChar w:fldCharType="separate"/>
      </w:r>
      <w:r>
        <w:rPr>
          <w:rStyle w:val="6"/>
        </w:rPr>
        <w:t>peckfortonparishclerk@gmail.com</w:t>
      </w:r>
      <w:r>
        <w:rPr>
          <w:rStyle w:val="6"/>
        </w:rPr>
        <w:fldChar w:fldCharType="end"/>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9869"/>
        <w:gridCol w:w="835"/>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Item</w:t>
            </w:r>
          </w:p>
        </w:tc>
        <w:tc>
          <w:tcPr>
            <w:tcW w:w="9869" w:type="dxa"/>
          </w:tcPr>
          <w:p>
            <w:pPr>
              <w:spacing w:after="0" w:line="240" w:lineRule="auto"/>
            </w:pPr>
            <w:r>
              <w:t>Issue</w:t>
            </w:r>
          </w:p>
        </w:tc>
        <w:tc>
          <w:tcPr>
            <w:tcW w:w="835" w:type="dxa"/>
          </w:tcPr>
          <w:p>
            <w:pPr>
              <w:spacing w:after="0" w:line="240" w:lineRule="auto"/>
            </w:pPr>
            <w:r>
              <w:t>Survey</w:t>
            </w:r>
          </w:p>
        </w:tc>
        <w:tc>
          <w:tcPr>
            <w:tcW w:w="993" w:type="dxa"/>
          </w:tcPr>
          <w:p>
            <w:pPr>
              <w:spacing w:after="0" w:line="240" w:lineRule="auto"/>
            </w:pPr>
            <w:r>
              <w:t>Drop In</w:t>
            </w:r>
          </w:p>
        </w:tc>
        <w:tc>
          <w:tcPr>
            <w:tcW w:w="993" w:type="dxa"/>
          </w:tcPr>
          <w:p>
            <w:pPr>
              <w:spacing w:after="0" w:line="240" w:lineRule="auto"/>
            </w:pPr>
            <w:r>
              <w:t>Totals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shd w:val="clear" w:color="auto" w:fill="FFC000"/>
          </w:tcPr>
          <w:p>
            <w:pPr>
              <w:spacing w:after="0" w:line="240" w:lineRule="auto"/>
            </w:pPr>
          </w:p>
        </w:tc>
        <w:tc>
          <w:tcPr>
            <w:tcW w:w="9869" w:type="dxa"/>
            <w:shd w:val="clear" w:color="auto" w:fill="FFC000"/>
          </w:tcPr>
          <w:p>
            <w:pPr>
              <w:spacing w:after="0" w:line="240" w:lineRule="auto"/>
              <w:rPr>
                <w:b/>
              </w:rPr>
            </w:pPr>
            <w:r>
              <w:rPr>
                <w:b/>
              </w:rPr>
              <w:t>Roads, Safety Matters</w:t>
            </w:r>
          </w:p>
        </w:tc>
        <w:tc>
          <w:tcPr>
            <w:tcW w:w="835" w:type="dxa"/>
            <w:shd w:val="clear" w:color="auto" w:fill="FFC000"/>
          </w:tcPr>
          <w:p>
            <w:pPr>
              <w:spacing w:after="0" w:line="240" w:lineRule="auto"/>
            </w:pPr>
          </w:p>
        </w:tc>
        <w:tc>
          <w:tcPr>
            <w:tcW w:w="993" w:type="dxa"/>
            <w:shd w:val="clear" w:color="auto" w:fill="FFC000"/>
          </w:tcPr>
          <w:p>
            <w:pPr>
              <w:spacing w:after="0" w:line="240" w:lineRule="auto"/>
            </w:pPr>
          </w:p>
        </w:tc>
        <w:tc>
          <w:tcPr>
            <w:tcW w:w="993" w:type="dxa"/>
            <w:shd w:val="clear" w:color="auto" w:fill="FFC000"/>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w:t>
            </w:r>
          </w:p>
        </w:tc>
        <w:tc>
          <w:tcPr>
            <w:tcW w:w="9869" w:type="dxa"/>
          </w:tcPr>
          <w:p>
            <w:pPr>
              <w:spacing w:after="0" w:line="240" w:lineRule="auto"/>
            </w:pPr>
            <w:r>
              <w:t>State of the roads (potholes, road signs – health &amp; safety concerns)</w:t>
            </w:r>
          </w:p>
        </w:tc>
        <w:tc>
          <w:tcPr>
            <w:tcW w:w="835" w:type="dxa"/>
          </w:tcPr>
          <w:p>
            <w:pPr>
              <w:spacing w:after="0" w:line="240" w:lineRule="auto"/>
            </w:pPr>
            <w:r>
              <w:t>10</w:t>
            </w:r>
          </w:p>
        </w:tc>
        <w:tc>
          <w:tcPr>
            <w:tcW w:w="993" w:type="dxa"/>
          </w:tcPr>
          <w:p>
            <w:pPr>
              <w:spacing w:after="0" w:line="240" w:lineRule="auto"/>
            </w:pPr>
            <w:r>
              <w:t>6</w:t>
            </w:r>
          </w:p>
        </w:tc>
        <w:tc>
          <w:tcPr>
            <w:tcW w:w="993" w:type="dxa"/>
            <w:shd w:val="clear" w:color="auto" w:fill="C5E0B3" w:themeFill="accent6" w:themeFillTint="66"/>
          </w:tcPr>
          <w:p>
            <w:pPr>
              <w:spacing w:after="0" w:line="240" w:lineRule="auto"/>
            </w:pPr>
            <w: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w:t>
            </w:r>
          </w:p>
        </w:tc>
        <w:tc>
          <w:tcPr>
            <w:tcW w:w="9869" w:type="dxa"/>
          </w:tcPr>
          <w:p>
            <w:pPr>
              <w:spacing w:after="0" w:line="240" w:lineRule="auto"/>
            </w:pPr>
            <w:r>
              <w:t xml:space="preserve">Infrequency of hedge cutting and verge cutting – (health and safety and village appearance) </w:t>
            </w:r>
          </w:p>
        </w:tc>
        <w:tc>
          <w:tcPr>
            <w:tcW w:w="835" w:type="dxa"/>
          </w:tcPr>
          <w:p>
            <w:pPr>
              <w:spacing w:after="0" w:line="240" w:lineRule="auto"/>
            </w:pPr>
            <w:r>
              <w:t>5</w:t>
            </w:r>
          </w:p>
        </w:tc>
        <w:tc>
          <w:tcPr>
            <w:tcW w:w="993" w:type="dxa"/>
          </w:tcPr>
          <w:p>
            <w:pPr>
              <w:spacing w:after="0" w:line="240" w:lineRule="auto"/>
            </w:pPr>
            <w:r>
              <w:t>3</w:t>
            </w:r>
          </w:p>
        </w:tc>
        <w:tc>
          <w:tcPr>
            <w:tcW w:w="993" w:type="dxa"/>
            <w:shd w:val="clear" w:color="auto" w:fill="C5E0B3" w:themeFill="accent6" w:themeFillTint="66"/>
          </w:tcPr>
          <w:p>
            <w:pPr>
              <w:spacing w:after="0" w:line="240" w:lineRule="auto"/>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3</w:t>
            </w:r>
          </w:p>
        </w:tc>
        <w:tc>
          <w:tcPr>
            <w:tcW w:w="9869" w:type="dxa"/>
          </w:tcPr>
          <w:p>
            <w:pPr>
              <w:spacing w:after="0" w:line="240" w:lineRule="auto"/>
            </w:pPr>
            <w:r>
              <w:t xml:space="preserve">Maintenance of footpaths / verges adjacent to roads </w:t>
            </w:r>
          </w:p>
        </w:tc>
        <w:tc>
          <w:tcPr>
            <w:tcW w:w="835" w:type="dxa"/>
          </w:tcPr>
          <w:p>
            <w:pPr>
              <w:spacing w:after="0" w:line="240" w:lineRule="auto"/>
            </w:pPr>
            <w:r>
              <w:t>1</w:t>
            </w:r>
          </w:p>
        </w:tc>
        <w:tc>
          <w:tcPr>
            <w:tcW w:w="993" w:type="dxa"/>
          </w:tcPr>
          <w:p>
            <w:pPr>
              <w:spacing w:after="0" w:line="240" w:lineRule="auto"/>
            </w:pPr>
            <w:r>
              <w:t>1</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4</w:t>
            </w:r>
          </w:p>
        </w:tc>
        <w:tc>
          <w:tcPr>
            <w:tcW w:w="9869" w:type="dxa"/>
          </w:tcPr>
          <w:p>
            <w:pPr>
              <w:spacing w:after="0" w:line="240" w:lineRule="auto"/>
            </w:pPr>
            <w:r>
              <w:t xml:space="preserve">Road safety/speeding </w:t>
            </w:r>
          </w:p>
        </w:tc>
        <w:tc>
          <w:tcPr>
            <w:tcW w:w="835" w:type="dxa"/>
          </w:tcPr>
          <w:p>
            <w:pPr>
              <w:spacing w:after="0" w:line="240" w:lineRule="auto"/>
            </w:pPr>
            <w:r>
              <w:t>16</w:t>
            </w:r>
          </w:p>
        </w:tc>
        <w:tc>
          <w:tcPr>
            <w:tcW w:w="993" w:type="dxa"/>
          </w:tcPr>
          <w:p>
            <w:pPr>
              <w:spacing w:after="0" w:line="240" w:lineRule="auto"/>
            </w:pPr>
            <w:r>
              <w:t>6</w:t>
            </w:r>
          </w:p>
        </w:tc>
        <w:tc>
          <w:tcPr>
            <w:tcW w:w="993" w:type="dxa"/>
            <w:shd w:val="clear" w:color="auto" w:fill="C5E0B3" w:themeFill="accent6" w:themeFillTint="66"/>
          </w:tcPr>
          <w:p>
            <w:pPr>
              <w:spacing w:after="0" w:line="240" w:lineRule="auto"/>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shd w:val="clear" w:color="auto" w:fill="B4C6E7" w:themeFill="accent1" w:themeFillTint="66"/>
          </w:tcPr>
          <w:p>
            <w:pPr>
              <w:spacing w:after="0" w:line="240" w:lineRule="auto"/>
            </w:pPr>
          </w:p>
        </w:tc>
        <w:tc>
          <w:tcPr>
            <w:tcW w:w="9869" w:type="dxa"/>
            <w:shd w:val="clear" w:color="auto" w:fill="B4C6E7" w:themeFill="accent1" w:themeFillTint="66"/>
          </w:tcPr>
          <w:p>
            <w:pPr>
              <w:spacing w:after="0" w:line="240" w:lineRule="auto"/>
              <w:rPr>
                <w:b/>
              </w:rPr>
            </w:pPr>
            <w:r>
              <w:rPr>
                <w:b/>
              </w:rPr>
              <w:t xml:space="preserve">Estate Matters  </w:t>
            </w:r>
          </w:p>
        </w:tc>
        <w:tc>
          <w:tcPr>
            <w:tcW w:w="835" w:type="dxa"/>
            <w:shd w:val="clear" w:color="auto" w:fill="B4C6E7" w:themeFill="accent1" w:themeFillTint="66"/>
          </w:tcPr>
          <w:p>
            <w:pPr>
              <w:spacing w:after="0" w:line="240" w:lineRule="auto"/>
            </w:pPr>
          </w:p>
        </w:tc>
        <w:tc>
          <w:tcPr>
            <w:tcW w:w="993" w:type="dxa"/>
            <w:shd w:val="clear" w:color="auto" w:fill="B4C6E7" w:themeFill="accent1" w:themeFillTint="66"/>
          </w:tcPr>
          <w:p>
            <w:pPr>
              <w:spacing w:after="0" w:line="240" w:lineRule="auto"/>
            </w:pPr>
          </w:p>
        </w:tc>
        <w:tc>
          <w:tcPr>
            <w:tcW w:w="993" w:type="dxa"/>
            <w:shd w:val="clear" w:color="auto" w:fill="B4C6E7" w:themeFill="accent1" w:themeFillTint="66"/>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5</w:t>
            </w:r>
          </w:p>
        </w:tc>
        <w:tc>
          <w:tcPr>
            <w:tcW w:w="9869" w:type="dxa"/>
          </w:tcPr>
          <w:p>
            <w:pPr>
              <w:spacing w:after="0" w:line="240" w:lineRule="auto"/>
            </w:pPr>
            <w:r>
              <w:t>Planning for felled Christmas trees, re-planning and brash / tidy  (Hall, Bank Cotts)  and on-going maintenance</w:t>
            </w:r>
          </w:p>
        </w:tc>
        <w:tc>
          <w:tcPr>
            <w:tcW w:w="835" w:type="dxa"/>
          </w:tcPr>
          <w:p>
            <w:pPr>
              <w:spacing w:after="0" w:line="240" w:lineRule="auto"/>
            </w:pPr>
            <w:r>
              <w:t>17</w:t>
            </w:r>
          </w:p>
        </w:tc>
        <w:tc>
          <w:tcPr>
            <w:tcW w:w="993" w:type="dxa"/>
          </w:tcPr>
          <w:p>
            <w:pPr>
              <w:spacing w:after="0" w:line="240" w:lineRule="auto"/>
            </w:pPr>
            <w:r>
              <w:t>3</w:t>
            </w:r>
          </w:p>
        </w:tc>
        <w:tc>
          <w:tcPr>
            <w:tcW w:w="993" w:type="dxa"/>
            <w:shd w:val="clear" w:color="auto" w:fill="C5E0B3" w:themeFill="accent6" w:themeFillTint="66"/>
          </w:tcPr>
          <w:p>
            <w:pPr>
              <w:spacing w:after="0" w:line="240" w:lineRule="auto"/>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6</w:t>
            </w:r>
          </w:p>
        </w:tc>
        <w:tc>
          <w:tcPr>
            <w:tcW w:w="9869" w:type="dxa"/>
          </w:tcPr>
          <w:p>
            <w:pPr>
              <w:spacing w:after="0" w:line="240" w:lineRule="auto"/>
            </w:pPr>
            <w:r>
              <w:t>Plans for the remaining Christmas trees not felled in Peckforton by identified for such by some residents</w:t>
            </w:r>
          </w:p>
        </w:tc>
        <w:tc>
          <w:tcPr>
            <w:tcW w:w="835" w:type="dxa"/>
          </w:tcPr>
          <w:p>
            <w:pPr>
              <w:spacing w:after="0" w:line="240" w:lineRule="auto"/>
            </w:pPr>
            <w:r>
              <w:t>1</w:t>
            </w:r>
          </w:p>
        </w:tc>
        <w:tc>
          <w:tcPr>
            <w:tcW w:w="993" w:type="dxa"/>
          </w:tcPr>
          <w:p>
            <w:pPr>
              <w:spacing w:after="0" w:line="240" w:lineRule="auto"/>
            </w:pPr>
            <w:r>
              <w:t>-</w:t>
            </w:r>
          </w:p>
        </w:tc>
        <w:tc>
          <w:tcPr>
            <w:tcW w:w="993" w:type="dxa"/>
          </w:tcPr>
          <w:p>
            <w:pPr>
              <w:spacing w:after="0" w:line="240" w:lineRule="auto"/>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7</w:t>
            </w:r>
          </w:p>
        </w:tc>
        <w:tc>
          <w:tcPr>
            <w:tcW w:w="9869" w:type="dxa"/>
          </w:tcPr>
          <w:p>
            <w:pPr>
              <w:spacing w:after="0" w:line="240" w:lineRule="auto"/>
            </w:pPr>
            <w:r>
              <w:t xml:space="preserve"> Greater responsiveness by Strutt and Parker to requests by residents </w:t>
            </w:r>
          </w:p>
        </w:tc>
        <w:tc>
          <w:tcPr>
            <w:tcW w:w="835" w:type="dxa"/>
          </w:tcPr>
          <w:p>
            <w:pPr>
              <w:spacing w:after="0" w:line="240" w:lineRule="auto"/>
            </w:pPr>
            <w:r>
              <w:t>2</w:t>
            </w:r>
          </w:p>
        </w:tc>
        <w:tc>
          <w:tcPr>
            <w:tcW w:w="993" w:type="dxa"/>
          </w:tcPr>
          <w:p>
            <w:pPr>
              <w:spacing w:after="0" w:line="240" w:lineRule="auto"/>
            </w:pPr>
            <w:r>
              <w:t>-</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8</w:t>
            </w:r>
          </w:p>
        </w:tc>
        <w:tc>
          <w:tcPr>
            <w:tcW w:w="9869" w:type="dxa"/>
          </w:tcPr>
          <w:p>
            <w:pPr>
              <w:spacing w:after="0" w:line="240" w:lineRule="auto"/>
            </w:pPr>
            <w:r>
              <w:t>More effective and regular communications and consultation between the Parish &amp; Estate</w:t>
            </w:r>
          </w:p>
        </w:tc>
        <w:tc>
          <w:tcPr>
            <w:tcW w:w="835" w:type="dxa"/>
          </w:tcPr>
          <w:p>
            <w:pPr>
              <w:spacing w:after="0" w:line="240" w:lineRule="auto"/>
            </w:pPr>
            <w:r>
              <w:t>2</w:t>
            </w:r>
          </w:p>
        </w:tc>
        <w:tc>
          <w:tcPr>
            <w:tcW w:w="993" w:type="dxa"/>
          </w:tcPr>
          <w:p>
            <w:pPr>
              <w:spacing w:after="0" w:line="240" w:lineRule="auto"/>
            </w:pPr>
            <w:r>
              <w:t>-</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shd w:val="clear" w:color="auto" w:fill="A5A5A5" w:themeFill="background1" w:themeFillShade="A6"/>
          </w:tcPr>
          <w:p>
            <w:pPr>
              <w:spacing w:after="0" w:line="240" w:lineRule="auto"/>
            </w:pPr>
          </w:p>
        </w:tc>
        <w:tc>
          <w:tcPr>
            <w:tcW w:w="9869" w:type="dxa"/>
            <w:shd w:val="clear" w:color="auto" w:fill="A5A5A5" w:themeFill="background1" w:themeFillShade="A6"/>
          </w:tcPr>
          <w:p>
            <w:pPr>
              <w:spacing w:after="0" w:line="240" w:lineRule="auto"/>
              <w:rPr>
                <w:b/>
              </w:rPr>
            </w:pPr>
            <w:r>
              <w:rPr>
                <w:b/>
              </w:rPr>
              <w:t xml:space="preserve">Parish Meeting Matters </w:t>
            </w:r>
          </w:p>
        </w:tc>
        <w:tc>
          <w:tcPr>
            <w:tcW w:w="835" w:type="dxa"/>
            <w:shd w:val="clear" w:color="auto" w:fill="A5A5A5" w:themeFill="background1" w:themeFillShade="A6"/>
          </w:tcPr>
          <w:p>
            <w:pPr>
              <w:spacing w:after="0" w:line="240" w:lineRule="auto"/>
            </w:pPr>
          </w:p>
        </w:tc>
        <w:tc>
          <w:tcPr>
            <w:tcW w:w="993" w:type="dxa"/>
            <w:shd w:val="clear" w:color="auto" w:fill="A5A5A5" w:themeFill="background1" w:themeFillShade="A6"/>
          </w:tcPr>
          <w:p>
            <w:pPr>
              <w:spacing w:after="0" w:line="240" w:lineRule="auto"/>
            </w:pPr>
          </w:p>
        </w:tc>
        <w:tc>
          <w:tcPr>
            <w:tcW w:w="993" w:type="dxa"/>
            <w:shd w:val="clear" w:color="auto" w:fill="A5A5A5" w:themeFill="background1" w:themeFillShade="A6"/>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9</w:t>
            </w:r>
          </w:p>
        </w:tc>
        <w:tc>
          <w:tcPr>
            <w:tcW w:w="9869" w:type="dxa"/>
          </w:tcPr>
          <w:p>
            <w:pPr>
              <w:spacing w:after="0" w:line="240" w:lineRule="auto"/>
            </w:pPr>
            <w:r>
              <w:t>More regular contact between Parish and Cheshire rural crime team</w:t>
            </w:r>
          </w:p>
        </w:tc>
        <w:tc>
          <w:tcPr>
            <w:tcW w:w="835" w:type="dxa"/>
          </w:tcPr>
          <w:p>
            <w:pPr>
              <w:spacing w:after="0" w:line="240" w:lineRule="auto"/>
            </w:pPr>
            <w:r>
              <w:t>2</w:t>
            </w:r>
          </w:p>
        </w:tc>
        <w:tc>
          <w:tcPr>
            <w:tcW w:w="993" w:type="dxa"/>
          </w:tcPr>
          <w:p>
            <w:pPr>
              <w:spacing w:after="0" w:line="240" w:lineRule="auto"/>
            </w:pPr>
            <w:r>
              <w:t>-</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10</w:t>
            </w:r>
          </w:p>
        </w:tc>
        <w:tc>
          <w:tcPr>
            <w:tcW w:w="9869" w:type="dxa"/>
          </w:tcPr>
          <w:p>
            <w:pPr>
              <w:spacing w:after="0" w:line="240" w:lineRule="auto"/>
            </w:pPr>
            <w:r>
              <w:t xml:space="preserve">More social events / happenings for the village </w:t>
            </w:r>
          </w:p>
        </w:tc>
        <w:tc>
          <w:tcPr>
            <w:tcW w:w="835" w:type="dxa"/>
          </w:tcPr>
          <w:p>
            <w:pPr>
              <w:spacing w:after="0" w:line="240" w:lineRule="auto"/>
            </w:pPr>
            <w:r>
              <w:t>5</w:t>
            </w:r>
          </w:p>
        </w:tc>
        <w:tc>
          <w:tcPr>
            <w:tcW w:w="993" w:type="dxa"/>
          </w:tcPr>
          <w:p>
            <w:pPr>
              <w:spacing w:after="0" w:line="240" w:lineRule="auto"/>
            </w:pPr>
            <w:r>
              <w:t>4</w:t>
            </w:r>
          </w:p>
        </w:tc>
        <w:tc>
          <w:tcPr>
            <w:tcW w:w="993" w:type="dxa"/>
            <w:shd w:val="clear" w:color="auto" w:fill="C5E0B3" w:themeFill="accent6" w:themeFillTint="66"/>
          </w:tcPr>
          <w:p>
            <w:pPr>
              <w:spacing w:after="0" w:line="240" w:lineRule="auto"/>
            </w:pP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11</w:t>
            </w:r>
          </w:p>
        </w:tc>
        <w:tc>
          <w:tcPr>
            <w:tcW w:w="9869" w:type="dxa"/>
          </w:tcPr>
          <w:p>
            <w:pPr>
              <w:spacing w:after="0" w:line="240" w:lineRule="auto"/>
            </w:pPr>
            <w:r>
              <w:t>Notice board renewal</w:t>
            </w:r>
          </w:p>
        </w:tc>
        <w:tc>
          <w:tcPr>
            <w:tcW w:w="835" w:type="dxa"/>
          </w:tcPr>
          <w:p>
            <w:pPr>
              <w:spacing w:after="0" w:line="240" w:lineRule="auto"/>
            </w:pPr>
            <w:r>
              <w:t>1</w:t>
            </w:r>
          </w:p>
        </w:tc>
        <w:tc>
          <w:tcPr>
            <w:tcW w:w="993" w:type="dxa"/>
          </w:tcPr>
          <w:p>
            <w:pPr>
              <w:spacing w:after="0" w:line="240" w:lineRule="auto"/>
            </w:pPr>
            <w:r>
              <w:t>-</w:t>
            </w:r>
          </w:p>
        </w:tc>
        <w:tc>
          <w:tcPr>
            <w:tcW w:w="993" w:type="dxa"/>
          </w:tcPr>
          <w:p>
            <w:pPr>
              <w:spacing w:after="0" w:line="240" w:lineRule="auto"/>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12</w:t>
            </w:r>
          </w:p>
        </w:tc>
        <w:tc>
          <w:tcPr>
            <w:tcW w:w="9869" w:type="dxa"/>
          </w:tcPr>
          <w:p>
            <w:pPr>
              <w:spacing w:after="0" w:line="240" w:lineRule="auto"/>
            </w:pPr>
            <w:r>
              <w:t>More effective and regular communications and consultation between the Parish &amp; Estate</w:t>
            </w:r>
          </w:p>
        </w:tc>
        <w:tc>
          <w:tcPr>
            <w:tcW w:w="835" w:type="dxa"/>
          </w:tcPr>
          <w:p>
            <w:pPr>
              <w:spacing w:after="0" w:line="240" w:lineRule="auto"/>
            </w:pPr>
            <w:r>
              <w:t>2</w:t>
            </w:r>
          </w:p>
        </w:tc>
        <w:tc>
          <w:tcPr>
            <w:tcW w:w="993" w:type="dxa"/>
          </w:tcPr>
          <w:p>
            <w:pPr>
              <w:spacing w:after="0" w:line="240" w:lineRule="auto"/>
            </w:pPr>
            <w:r>
              <w:t>-</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13</w:t>
            </w:r>
          </w:p>
        </w:tc>
        <w:tc>
          <w:tcPr>
            <w:tcW w:w="9869" w:type="dxa"/>
          </w:tcPr>
          <w:p>
            <w:pPr>
              <w:spacing w:after="0" w:line="240" w:lineRule="auto"/>
            </w:pPr>
            <w:r>
              <w:t xml:space="preserve">Improved communications between Parish and residents </w:t>
            </w:r>
          </w:p>
        </w:tc>
        <w:tc>
          <w:tcPr>
            <w:tcW w:w="835" w:type="dxa"/>
          </w:tcPr>
          <w:p>
            <w:pPr>
              <w:spacing w:after="0" w:line="240" w:lineRule="auto"/>
            </w:pPr>
            <w:r>
              <w:t>6</w:t>
            </w:r>
          </w:p>
        </w:tc>
        <w:tc>
          <w:tcPr>
            <w:tcW w:w="993" w:type="dxa"/>
          </w:tcPr>
          <w:p>
            <w:pPr>
              <w:spacing w:after="0" w:line="240" w:lineRule="auto"/>
            </w:pPr>
            <w:r>
              <w:t>-</w:t>
            </w:r>
          </w:p>
        </w:tc>
        <w:tc>
          <w:tcPr>
            <w:tcW w:w="993" w:type="dxa"/>
            <w:shd w:val="clear" w:color="auto" w:fill="C5E0B3" w:themeFill="accent6" w:themeFillTint="66"/>
          </w:tcPr>
          <w:p>
            <w:pPr>
              <w:spacing w:after="0" w:line="240" w:lineRule="auto"/>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14</w:t>
            </w:r>
          </w:p>
        </w:tc>
        <w:tc>
          <w:tcPr>
            <w:tcW w:w="9869" w:type="dxa"/>
          </w:tcPr>
          <w:p>
            <w:pPr>
              <w:spacing w:after="0" w:line="240" w:lineRule="auto"/>
            </w:pPr>
            <w:r>
              <w:t>Parish news letter</w:t>
            </w:r>
          </w:p>
        </w:tc>
        <w:tc>
          <w:tcPr>
            <w:tcW w:w="835" w:type="dxa"/>
          </w:tcPr>
          <w:p>
            <w:pPr>
              <w:spacing w:after="0" w:line="240" w:lineRule="auto"/>
            </w:pPr>
            <w:r>
              <w:t>6</w:t>
            </w:r>
          </w:p>
        </w:tc>
        <w:tc>
          <w:tcPr>
            <w:tcW w:w="993" w:type="dxa"/>
          </w:tcPr>
          <w:p>
            <w:pPr>
              <w:spacing w:after="0" w:line="240" w:lineRule="auto"/>
            </w:pPr>
            <w:r>
              <w:t>1</w:t>
            </w:r>
          </w:p>
        </w:tc>
        <w:tc>
          <w:tcPr>
            <w:tcW w:w="993" w:type="dxa"/>
            <w:shd w:val="clear" w:color="auto" w:fill="C5E0B3" w:themeFill="accent6" w:themeFillTint="66"/>
          </w:tcPr>
          <w:p>
            <w:pPr>
              <w:spacing w:after="0" w:line="240" w:lineRule="auto"/>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15</w:t>
            </w:r>
          </w:p>
        </w:tc>
        <w:tc>
          <w:tcPr>
            <w:tcW w:w="9869" w:type="dxa"/>
          </w:tcPr>
          <w:p>
            <w:pPr>
              <w:spacing w:after="0" w:line="240" w:lineRule="auto"/>
            </w:pPr>
            <w:r>
              <w:t>Establish various working parties (e.g. litter)</w:t>
            </w:r>
          </w:p>
        </w:tc>
        <w:tc>
          <w:tcPr>
            <w:tcW w:w="835" w:type="dxa"/>
          </w:tcPr>
          <w:p>
            <w:pPr>
              <w:spacing w:after="0" w:line="240" w:lineRule="auto"/>
            </w:pPr>
            <w:r>
              <w:t>6</w:t>
            </w:r>
          </w:p>
        </w:tc>
        <w:tc>
          <w:tcPr>
            <w:tcW w:w="993" w:type="dxa"/>
          </w:tcPr>
          <w:p>
            <w:pPr>
              <w:spacing w:after="0" w:line="240" w:lineRule="auto"/>
            </w:pPr>
            <w:r>
              <w:t>1</w:t>
            </w:r>
          </w:p>
        </w:tc>
        <w:tc>
          <w:tcPr>
            <w:tcW w:w="993" w:type="dxa"/>
            <w:shd w:val="clear" w:color="auto" w:fill="C5E0B3" w:themeFill="accent6" w:themeFillTint="66"/>
          </w:tcPr>
          <w:p>
            <w:pPr>
              <w:spacing w:after="0" w:line="240" w:lineRule="auto"/>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16</w:t>
            </w:r>
          </w:p>
        </w:tc>
        <w:tc>
          <w:tcPr>
            <w:tcW w:w="9869" w:type="dxa"/>
          </w:tcPr>
          <w:p>
            <w:pPr>
              <w:spacing w:after="0" w:line="240" w:lineRule="auto"/>
            </w:pPr>
            <w:r>
              <w:t xml:space="preserve">Impact management of the Vyrnwy project </w:t>
            </w:r>
          </w:p>
        </w:tc>
        <w:tc>
          <w:tcPr>
            <w:tcW w:w="835" w:type="dxa"/>
          </w:tcPr>
          <w:p>
            <w:pPr>
              <w:spacing w:after="0" w:line="240" w:lineRule="auto"/>
            </w:pPr>
            <w:r>
              <w:t>3</w:t>
            </w:r>
          </w:p>
        </w:tc>
        <w:tc>
          <w:tcPr>
            <w:tcW w:w="993" w:type="dxa"/>
          </w:tcPr>
          <w:p>
            <w:pPr>
              <w:spacing w:after="0" w:line="240" w:lineRule="auto"/>
            </w:pPr>
            <w:r>
              <w:t>5</w:t>
            </w:r>
          </w:p>
        </w:tc>
        <w:tc>
          <w:tcPr>
            <w:tcW w:w="993" w:type="dxa"/>
            <w:shd w:val="clear" w:color="auto" w:fill="C5E0B3" w:themeFill="accent6" w:themeFillTint="66"/>
          </w:tcPr>
          <w:p>
            <w:pPr>
              <w:spacing w:after="0" w:line="240" w:lineRule="auto"/>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17</w:t>
            </w:r>
          </w:p>
        </w:tc>
        <w:tc>
          <w:tcPr>
            <w:tcW w:w="9869" w:type="dxa"/>
          </w:tcPr>
          <w:p>
            <w:pPr>
              <w:spacing w:after="0" w:line="240" w:lineRule="auto"/>
            </w:pPr>
            <w:r>
              <w:t>Buzzard statue refurbishment urgent</w:t>
            </w:r>
          </w:p>
        </w:tc>
        <w:tc>
          <w:tcPr>
            <w:tcW w:w="835" w:type="dxa"/>
          </w:tcPr>
          <w:p>
            <w:pPr>
              <w:spacing w:after="0" w:line="240" w:lineRule="auto"/>
            </w:pPr>
            <w:r>
              <w:t>3</w:t>
            </w:r>
          </w:p>
        </w:tc>
        <w:tc>
          <w:tcPr>
            <w:tcW w:w="993" w:type="dxa"/>
          </w:tcPr>
          <w:p>
            <w:pPr>
              <w:spacing w:after="0" w:line="240" w:lineRule="auto"/>
            </w:pPr>
            <w:r>
              <w:t>-</w:t>
            </w:r>
          </w:p>
        </w:tc>
        <w:tc>
          <w:tcPr>
            <w:tcW w:w="993" w:type="dxa"/>
          </w:tcPr>
          <w:p>
            <w:pPr>
              <w:spacing w:after="0" w:line="240" w:lineRule="auto"/>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18</w:t>
            </w:r>
          </w:p>
        </w:tc>
        <w:tc>
          <w:tcPr>
            <w:tcW w:w="9869" w:type="dxa"/>
          </w:tcPr>
          <w:p>
            <w:pPr>
              <w:spacing w:after="0" w:line="240" w:lineRule="auto"/>
            </w:pPr>
            <w:r>
              <w:t xml:space="preserve">Improved relations/communications between Peckforton and Beeston Parishes </w:t>
            </w:r>
          </w:p>
        </w:tc>
        <w:tc>
          <w:tcPr>
            <w:tcW w:w="835" w:type="dxa"/>
          </w:tcPr>
          <w:p>
            <w:pPr>
              <w:spacing w:after="0" w:line="240" w:lineRule="auto"/>
            </w:pPr>
            <w:r>
              <w:t>1</w:t>
            </w:r>
          </w:p>
        </w:tc>
        <w:tc>
          <w:tcPr>
            <w:tcW w:w="993" w:type="dxa"/>
          </w:tcPr>
          <w:p>
            <w:pPr>
              <w:spacing w:after="0" w:line="240" w:lineRule="auto"/>
            </w:pPr>
            <w:r>
              <w:t>1</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19</w:t>
            </w:r>
          </w:p>
        </w:tc>
        <w:tc>
          <w:tcPr>
            <w:tcW w:w="9869" w:type="dxa"/>
          </w:tcPr>
          <w:p>
            <w:pPr>
              <w:spacing w:after="0" w:line="240" w:lineRule="auto"/>
            </w:pPr>
            <w:r>
              <w:t xml:space="preserve">Improved behaviours of people in the Parish meetings </w:t>
            </w:r>
          </w:p>
        </w:tc>
        <w:tc>
          <w:tcPr>
            <w:tcW w:w="835" w:type="dxa"/>
          </w:tcPr>
          <w:p>
            <w:pPr>
              <w:spacing w:after="0" w:line="240" w:lineRule="auto"/>
            </w:pPr>
            <w:r>
              <w:t>-</w:t>
            </w:r>
          </w:p>
        </w:tc>
        <w:tc>
          <w:tcPr>
            <w:tcW w:w="993" w:type="dxa"/>
          </w:tcPr>
          <w:p>
            <w:pPr>
              <w:spacing w:after="0" w:line="240" w:lineRule="auto"/>
            </w:pPr>
            <w:r>
              <w:t>3</w:t>
            </w:r>
          </w:p>
        </w:tc>
        <w:tc>
          <w:tcPr>
            <w:tcW w:w="993" w:type="dxa"/>
          </w:tcPr>
          <w:p>
            <w:pPr>
              <w:spacing w:after="0" w:line="240" w:lineRule="auto"/>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20</w:t>
            </w:r>
          </w:p>
        </w:tc>
        <w:tc>
          <w:tcPr>
            <w:tcW w:w="9869" w:type="dxa"/>
          </w:tcPr>
          <w:p>
            <w:pPr>
              <w:spacing w:after="0" w:line="240" w:lineRule="auto"/>
            </w:pPr>
            <w:r>
              <w:t>Improved Parish meeting solvency; parish fund raising and local authority grants</w:t>
            </w:r>
          </w:p>
        </w:tc>
        <w:tc>
          <w:tcPr>
            <w:tcW w:w="835" w:type="dxa"/>
          </w:tcPr>
          <w:p>
            <w:pPr>
              <w:spacing w:after="0" w:line="240" w:lineRule="auto"/>
            </w:pPr>
            <w:r>
              <w:t>2</w:t>
            </w:r>
          </w:p>
        </w:tc>
        <w:tc>
          <w:tcPr>
            <w:tcW w:w="993" w:type="dxa"/>
          </w:tcPr>
          <w:p>
            <w:pPr>
              <w:spacing w:after="0" w:line="240" w:lineRule="auto"/>
            </w:pPr>
            <w:r>
              <w:t>2</w:t>
            </w:r>
          </w:p>
        </w:tc>
        <w:tc>
          <w:tcPr>
            <w:tcW w:w="993" w:type="dxa"/>
          </w:tcPr>
          <w:p>
            <w:pPr>
              <w:spacing w:after="0" w:line="240" w:lineRule="auto"/>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21</w:t>
            </w:r>
          </w:p>
        </w:tc>
        <w:tc>
          <w:tcPr>
            <w:tcW w:w="9869" w:type="dxa"/>
          </w:tcPr>
          <w:p>
            <w:pPr>
              <w:spacing w:after="0" w:line="240" w:lineRule="auto"/>
            </w:pPr>
            <w:r>
              <w:t>Village planters and entrance signs</w:t>
            </w:r>
          </w:p>
        </w:tc>
        <w:tc>
          <w:tcPr>
            <w:tcW w:w="835" w:type="dxa"/>
          </w:tcPr>
          <w:p>
            <w:pPr>
              <w:spacing w:after="0" w:line="240" w:lineRule="auto"/>
            </w:pPr>
            <w:r>
              <w:t>-</w:t>
            </w:r>
          </w:p>
        </w:tc>
        <w:tc>
          <w:tcPr>
            <w:tcW w:w="993" w:type="dxa"/>
          </w:tcPr>
          <w:p>
            <w:pPr>
              <w:spacing w:after="0" w:line="240" w:lineRule="auto"/>
            </w:pPr>
            <w:r>
              <w:t>2</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22</w:t>
            </w:r>
          </w:p>
        </w:tc>
        <w:tc>
          <w:tcPr>
            <w:tcW w:w="9869" w:type="dxa"/>
          </w:tcPr>
          <w:p>
            <w:pPr>
              <w:spacing w:after="0" w:line="240" w:lineRule="auto"/>
            </w:pPr>
            <w:r>
              <w:t>Welcome packs on the village for new residents</w:t>
            </w:r>
          </w:p>
        </w:tc>
        <w:tc>
          <w:tcPr>
            <w:tcW w:w="835" w:type="dxa"/>
          </w:tcPr>
          <w:p>
            <w:pPr>
              <w:spacing w:after="0" w:line="240" w:lineRule="auto"/>
            </w:pPr>
            <w:r>
              <w:t>-</w:t>
            </w:r>
          </w:p>
        </w:tc>
        <w:tc>
          <w:tcPr>
            <w:tcW w:w="993" w:type="dxa"/>
          </w:tcPr>
          <w:p>
            <w:pPr>
              <w:spacing w:after="0" w:line="240" w:lineRule="auto"/>
            </w:pPr>
            <w:r>
              <w:t>2</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23</w:t>
            </w:r>
          </w:p>
        </w:tc>
        <w:tc>
          <w:tcPr>
            <w:tcW w:w="9869" w:type="dxa"/>
          </w:tcPr>
          <w:p>
            <w:pPr>
              <w:spacing w:after="0" w:line="240" w:lineRule="auto"/>
            </w:pPr>
            <w:r>
              <w:t>Wild life education in the Hall</w:t>
            </w:r>
          </w:p>
        </w:tc>
        <w:tc>
          <w:tcPr>
            <w:tcW w:w="835" w:type="dxa"/>
          </w:tcPr>
          <w:p>
            <w:pPr>
              <w:spacing w:after="0" w:line="240" w:lineRule="auto"/>
            </w:pPr>
            <w:r>
              <w:t>1</w:t>
            </w:r>
          </w:p>
        </w:tc>
        <w:tc>
          <w:tcPr>
            <w:tcW w:w="993" w:type="dxa"/>
          </w:tcPr>
          <w:p>
            <w:pPr>
              <w:spacing w:after="0" w:line="240" w:lineRule="auto"/>
            </w:pPr>
            <w:r>
              <w:t>-</w:t>
            </w:r>
          </w:p>
        </w:tc>
        <w:tc>
          <w:tcPr>
            <w:tcW w:w="993" w:type="dxa"/>
          </w:tcPr>
          <w:p>
            <w:pPr>
              <w:spacing w:after="0" w:line="240" w:lineRule="auto"/>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24</w:t>
            </w:r>
          </w:p>
        </w:tc>
        <w:tc>
          <w:tcPr>
            <w:tcW w:w="9869" w:type="dxa"/>
          </w:tcPr>
          <w:p>
            <w:pPr>
              <w:spacing w:after="0" w:line="240" w:lineRule="auto"/>
            </w:pPr>
            <w:r>
              <w:t xml:space="preserve">Maintaining the village character (indeterminate but may relate to various items) </w:t>
            </w:r>
          </w:p>
        </w:tc>
        <w:tc>
          <w:tcPr>
            <w:tcW w:w="835" w:type="dxa"/>
          </w:tcPr>
          <w:p>
            <w:pPr>
              <w:spacing w:after="0" w:line="240" w:lineRule="auto"/>
            </w:pPr>
            <w:r>
              <w:t>3</w:t>
            </w:r>
          </w:p>
        </w:tc>
        <w:tc>
          <w:tcPr>
            <w:tcW w:w="993" w:type="dxa"/>
          </w:tcPr>
          <w:p>
            <w:pPr>
              <w:spacing w:after="0" w:line="240" w:lineRule="auto"/>
            </w:pPr>
            <w:r>
              <w:t>3</w:t>
            </w:r>
          </w:p>
        </w:tc>
        <w:tc>
          <w:tcPr>
            <w:tcW w:w="993" w:type="dxa"/>
            <w:shd w:val="clear" w:color="auto" w:fill="C5E0B3" w:themeFill="accent6" w:themeFillTint="66"/>
          </w:tcPr>
          <w:p>
            <w:pPr>
              <w:spacing w:after="0" w:line="240" w:lineRule="auto"/>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25</w:t>
            </w:r>
          </w:p>
        </w:tc>
        <w:tc>
          <w:tcPr>
            <w:tcW w:w="9869" w:type="dxa"/>
          </w:tcPr>
          <w:p>
            <w:pPr>
              <w:spacing w:after="0" w:line="240" w:lineRule="auto"/>
            </w:pPr>
            <w:r>
              <w:t xml:space="preserve">Vyrnwy Works impact management </w:t>
            </w:r>
          </w:p>
        </w:tc>
        <w:tc>
          <w:tcPr>
            <w:tcW w:w="835" w:type="dxa"/>
          </w:tcPr>
          <w:p>
            <w:pPr>
              <w:spacing w:after="0" w:line="240" w:lineRule="auto"/>
            </w:pPr>
            <w:r>
              <w:t>3</w:t>
            </w:r>
          </w:p>
        </w:tc>
        <w:tc>
          <w:tcPr>
            <w:tcW w:w="993" w:type="dxa"/>
          </w:tcPr>
          <w:p>
            <w:pPr>
              <w:spacing w:after="0" w:line="240" w:lineRule="auto"/>
            </w:pPr>
            <w:r>
              <w:t>5</w:t>
            </w:r>
          </w:p>
        </w:tc>
        <w:tc>
          <w:tcPr>
            <w:tcW w:w="993" w:type="dxa"/>
            <w:shd w:val="clear" w:color="auto" w:fill="C5E0B3" w:themeFill="accent6" w:themeFillTint="66"/>
          </w:tcPr>
          <w:p>
            <w:pPr>
              <w:spacing w:after="0" w:line="240" w:lineRule="auto"/>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26</w:t>
            </w:r>
          </w:p>
        </w:tc>
        <w:tc>
          <w:tcPr>
            <w:tcW w:w="9869" w:type="dxa"/>
          </w:tcPr>
          <w:p>
            <w:pPr>
              <w:spacing w:after="0" w:line="240" w:lineRule="auto"/>
            </w:pPr>
            <w:r>
              <w:t>Parish to formally support opening of Beeston station.</w:t>
            </w:r>
          </w:p>
        </w:tc>
        <w:tc>
          <w:tcPr>
            <w:tcW w:w="835" w:type="dxa"/>
          </w:tcPr>
          <w:p>
            <w:pPr>
              <w:spacing w:after="0" w:line="240" w:lineRule="auto"/>
            </w:pPr>
            <w:r>
              <w:t>1</w:t>
            </w:r>
          </w:p>
        </w:tc>
        <w:tc>
          <w:tcPr>
            <w:tcW w:w="993" w:type="dxa"/>
          </w:tcPr>
          <w:p>
            <w:pPr>
              <w:spacing w:after="0" w:line="240" w:lineRule="auto"/>
            </w:pPr>
            <w:r>
              <w:t>-</w:t>
            </w:r>
          </w:p>
        </w:tc>
        <w:tc>
          <w:tcPr>
            <w:tcW w:w="993" w:type="dxa"/>
            <w:shd w:val="clear" w:color="auto" w:fill="FFFFFF" w:themeFill="background1"/>
          </w:tcPr>
          <w:p>
            <w:pPr>
              <w:spacing w:after="0" w:line="240" w:lineRule="auto"/>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27</w:t>
            </w:r>
          </w:p>
        </w:tc>
        <w:tc>
          <w:tcPr>
            <w:tcW w:w="9869" w:type="dxa"/>
          </w:tcPr>
          <w:p>
            <w:pPr>
              <w:spacing w:after="0" w:line="240" w:lineRule="auto"/>
            </w:pPr>
            <w:r>
              <w:t>Parish to form an association with the Sandstone Trust / contribute to wildlife planning locally</w:t>
            </w:r>
          </w:p>
        </w:tc>
        <w:tc>
          <w:tcPr>
            <w:tcW w:w="835" w:type="dxa"/>
          </w:tcPr>
          <w:p>
            <w:pPr>
              <w:spacing w:after="0" w:line="240" w:lineRule="auto"/>
            </w:pPr>
            <w:r>
              <w:t>1</w:t>
            </w:r>
          </w:p>
        </w:tc>
        <w:tc>
          <w:tcPr>
            <w:tcW w:w="993" w:type="dxa"/>
          </w:tcPr>
          <w:p>
            <w:pPr>
              <w:spacing w:after="0" w:line="240" w:lineRule="auto"/>
            </w:pPr>
            <w:r>
              <w:t>-</w:t>
            </w:r>
          </w:p>
        </w:tc>
        <w:tc>
          <w:tcPr>
            <w:tcW w:w="993" w:type="dxa"/>
            <w:shd w:val="clear" w:color="auto" w:fill="FFFFFF" w:themeFill="background1"/>
          </w:tcPr>
          <w:p>
            <w:pPr>
              <w:spacing w:after="0" w:line="240" w:lineRule="auto"/>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shd w:val="clear" w:color="auto" w:fill="00B0F0"/>
          </w:tcPr>
          <w:p>
            <w:pPr>
              <w:spacing w:after="0" w:line="240" w:lineRule="auto"/>
            </w:pPr>
          </w:p>
        </w:tc>
        <w:tc>
          <w:tcPr>
            <w:tcW w:w="9869" w:type="dxa"/>
            <w:shd w:val="clear" w:color="auto" w:fill="00B0F0"/>
          </w:tcPr>
          <w:p>
            <w:pPr>
              <w:spacing w:after="0" w:line="240" w:lineRule="auto"/>
              <w:rPr>
                <w:b/>
              </w:rPr>
            </w:pPr>
            <w:r>
              <w:rPr>
                <w:b/>
              </w:rPr>
              <w:t xml:space="preserve">Hall Matters </w:t>
            </w:r>
          </w:p>
        </w:tc>
        <w:tc>
          <w:tcPr>
            <w:tcW w:w="835" w:type="dxa"/>
            <w:shd w:val="clear" w:color="auto" w:fill="00B0F0"/>
          </w:tcPr>
          <w:p>
            <w:pPr>
              <w:spacing w:after="0" w:line="240" w:lineRule="auto"/>
            </w:pPr>
          </w:p>
        </w:tc>
        <w:tc>
          <w:tcPr>
            <w:tcW w:w="993" w:type="dxa"/>
            <w:shd w:val="clear" w:color="auto" w:fill="00B0F0"/>
          </w:tcPr>
          <w:p>
            <w:pPr>
              <w:spacing w:after="0" w:line="240" w:lineRule="auto"/>
            </w:pPr>
          </w:p>
        </w:tc>
        <w:tc>
          <w:tcPr>
            <w:tcW w:w="993" w:type="dxa"/>
            <w:shd w:val="clear" w:color="auto" w:fill="00B0F0"/>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28</w:t>
            </w:r>
          </w:p>
        </w:tc>
        <w:tc>
          <w:tcPr>
            <w:tcW w:w="9869" w:type="dxa"/>
          </w:tcPr>
          <w:p>
            <w:pPr>
              <w:spacing w:after="0" w:line="240" w:lineRule="auto"/>
            </w:pPr>
            <w:r>
              <w:t>Greater use of the Hall locally</w:t>
            </w:r>
          </w:p>
        </w:tc>
        <w:tc>
          <w:tcPr>
            <w:tcW w:w="835" w:type="dxa"/>
          </w:tcPr>
          <w:p>
            <w:pPr>
              <w:spacing w:after="0" w:line="240" w:lineRule="auto"/>
            </w:pPr>
            <w:r>
              <w:t>1</w:t>
            </w:r>
          </w:p>
        </w:tc>
        <w:tc>
          <w:tcPr>
            <w:tcW w:w="993" w:type="dxa"/>
          </w:tcPr>
          <w:p>
            <w:pPr>
              <w:spacing w:after="0" w:line="240" w:lineRule="auto"/>
            </w:pPr>
            <w:r>
              <w:t>-</w:t>
            </w:r>
          </w:p>
        </w:tc>
        <w:tc>
          <w:tcPr>
            <w:tcW w:w="993" w:type="dxa"/>
          </w:tcPr>
          <w:p>
            <w:pPr>
              <w:spacing w:after="0" w:line="240" w:lineRule="auto"/>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29</w:t>
            </w:r>
          </w:p>
        </w:tc>
        <w:tc>
          <w:tcPr>
            <w:tcW w:w="9869" w:type="dxa"/>
          </w:tcPr>
          <w:p>
            <w:pPr>
              <w:spacing w:after="0" w:line="240" w:lineRule="auto"/>
            </w:pPr>
            <w:r>
              <w:t>Greater transparency on roles and planning for the Hall committee</w:t>
            </w:r>
          </w:p>
        </w:tc>
        <w:tc>
          <w:tcPr>
            <w:tcW w:w="835" w:type="dxa"/>
          </w:tcPr>
          <w:p>
            <w:pPr>
              <w:spacing w:after="0" w:line="240" w:lineRule="auto"/>
            </w:pPr>
            <w:r>
              <w:t>2</w:t>
            </w:r>
          </w:p>
        </w:tc>
        <w:tc>
          <w:tcPr>
            <w:tcW w:w="993" w:type="dxa"/>
          </w:tcPr>
          <w:p>
            <w:pPr>
              <w:spacing w:after="0" w:line="240" w:lineRule="auto"/>
            </w:pPr>
            <w:r>
              <w:t>6</w:t>
            </w:r>
          </w:p>
        </w:tc>
        <w:tc>
          <w:tcPr>
            <w:tcW w:w="993" w:type="dxa"/>
            <w:shd w:val="clear" w:color="auto" w:fill="C5E0B3" w:themeFill="accent6" w:themeFillTint="66"/>
          </w:tcPr>
          <w:p>
            <w:pPr>
              <w:spacing w:after="0" w:line="240" w:lineRule="auto"/>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30</w:t>
            </w:r>
          </w:p>
        </w:tc>
        <w:tc>
          <w:tcPr>
            <w:tcW w:w="9869" w:type="dxa"/>
          </w:tcPr>
          <w:p>
            <w:pPr>
              <w:spacing w:after="0" w:line="240" w:lineRule="auto"/>
            </w:pPr>
            <w:r>
              <w:t>Improved communication with the Hall committee and residents</w:t>
            </w:r>
          </w:p>
        </w:tc>
        <w:tc>
          <w:tcPr>
            <w:tcW w:w="835" w:type="dxa"/>
          </w:tcPr>
          <w:p>
            <w:pPr>
              <w:spacing w:after="0" w:line="240" w:lineRule="auto"/>
            </w:pPr>
            <w:r>
              <w:t>1</w:t>
            </w:r>
          </w:p>
        </w:tc>
        <w:tc>
          <w:tcPr>
            <w:tcW w:w="993" w:type="dxa"/>
          </w:tcPr>
          <w:p>
            <w:pPr>
              <w:spacing w:after="0" w:line="240" w:lineRule="auto"/>
            </w:pPr>
            <w:r>
              <w:t>1</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31</w:t>
            </w:r>
          </w:p>
        </w:tc>
        <w:tc>
          <w:tcPr>
            <w:tcW w:w="9869" w:type="dxa"/>
          </w:tcPr>
          <w:p>
            <w:pPr>
              <w:spacing w:after="0" w:line="240" w:lineRule="auto"/>
            </w:pPr>
            <w:r>
              <w:t>Village hall maintenance programme greater visibility</w:t>
            </w:r>
          </w:p>
        </w:tc>
        <w:tc>
          <w:tcPr>
            <w:tcW w:w="835" w:type="dxa"/>
          </w:tcPr>
          <w:p>
            <w:pPr>
              <w:spacing w:after="0" w:line="240" w:lineRule="auto"/>
            </w:pPr>
            <w:r>
              <w:t>1</w:t>
            </w:r>
          </w:p>
        </w:tc>
        <w:tc>
          <w:tcPr>
            <w:tcW w:w="993" w:type="dxa"/>
          </w:tcPr>
          <w:p>
            <w:pPr>
              <w:spacing w:after="0" w:line="240" w:lineRule="auto"/>
            </w:pPr>
            <w:r>
              <w:t>-</w:t>
            </w:r>
          </w:p>
        </w:tc>
        <w:tc>
          <w:tcPr>
            <w:tcW w:w="993" w:type="dxa"/>
          </w:tcPr>
          <w:p>
            <w:pPr>
              <w:spacing w:after="0" w:line="240" w:lineRule="auto"/>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32</w:t>
            </w:r>
          </w:p>
        </w:tc>
        <w:tc>
          <w:tcPr>
            <w:tcW w:w="9869" w:type="dxa"/>
          </w:tcPr>
          <w:p>
            <w:pPr>
              <w:spacing w:after="0" w:line="240" w:lineRule="auto"/>
            </w:pPr>
            <w:r>
              <w:t xml:space="preserve">Hall and Parish committees – improved relations </w:t>
            </w:r>
          </w:p>
        </w:tc>
        <w:tc>
          <w:tcPr>
            <w:tcW w:w="835" w:type="dxa"/>
          </w:tcPr>
          <w:p>
            <w:pPr>
              <w:spacing w:after="0" w:line="240" w:lineRule="auto"/>
            </w:pPr>
            <w:r>
              <w:t>-</w:t>
            </w:r>
          </w:p>
        </w:tc>
        <w:tc>
          <w:tcPr>
            <w:tcW w:w="993" w:type="dxa"/>
          </w:tcPr>
          <w:p>
            <w:pPr>
              <w:spacing w:after="0" w:line="240" w:lineRule="auto"/>
            </w:pPr>
            <w:r>
              <w:t>3</w:t>
            </w:r>
          </w:p>
        </w:tc>
        <w:tc>
          <w:tcPr>
            <w:tcW w:w="993" w:type="dxa"/>
          </w:tcPr>
          <w:p>
            <w:pPr>
              <w:spacing w:after="0" w:line="240" w:lineRule="auto"/>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33</w:t>
            </w:r>
          </w:p>
        </w:tc>
        <w:tc>
          <w:tcPr>
            <w:tcW w:w="9869" w:type="dxa"/>
          </w:tcPr>
          <w:p>
            <w:pPr>
              <w:spacing w:after="0" w:line="240" w:lineRule="auto"/>
            </w:pPr>
            <w:r>
              <w:t xml:space="preserve">Hall and carpark lighting restoration </w:t>
            </w:r>
          </w:p>
        </w:tc>
        <w:tc>
          <w:tcPr>
            <w:tcW w:w="835" w:type="dxa"/>
          </w:tcPr>
          <w:p>
            <w:pPr>
              <w:spacing w:after="0" w:line="240" w:lineRule="auto"/>
            </w:pPr>
            <w:r>
              <w:t>1</w:t>
            </w:r>
          </w:p>
        </w:tc>
        <w:tc>
          <w:tcPr>
            <w:tcW w:w="993" w:type="dxa"/>
          </w:tcPr>
          <w:p>
            <w:pPr>
              <w:spacing w:after="0" w:line="240" w:lineRule="auto"/>
            </w:pPr>
            <w:r>
              <w:t>1</w:t>
            </w:r>
          </w:p>
        </w:tc>
        <w:tc>
          <w:tcPr>
            <w:tcW w:w="993" w:type="dxa"/>
          </w:tcPr>
          <w:p>
            <w:pPr>
              <w:spacing w:after="0" w:line="240" w:lineRule="auto"/>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spacing w:after="0" w:line="240" w:lineRule="auto"/>
            </w:pPr>
            <w:r>
              <w:t>34</w:t>
            </w:r>
          </w:p>
        </w:tc>
        <w:tc>
          <w:tcPr>
            <w:tcW w:w="9869" w:type="dxa"/>
          </w:tcPr>
          <w:p>
            <w:pPr>
              <w:spacing w:after="0" w:line="240" w:lineRule="auto"/>
            </w:pPr>
            <w:r>
              <w:t xml:space="preserve">Improved behaviours of residents in the Hall committee meetings </w:t>
            </w:r>
          </w:p>
        </w:tc>
        <w:tc>
          <w:tcPr>
            <w:tcW w:w="835" w:type="dxa"/>
          </w:tcPr>
          <w:p>
            <w:pPr>
              <w:spacing w:after="0" w:line="240" w:lineRule="auto"/>
            </w:pPr>
            <w:r>
              <w:t>-</w:t>
            </w:r>
          </w:p>
        </w:tc>
        <w:tc>
          <w:tcPr>
            <w:tcW w:w="993" w:type="dxa"/>
          </w:tcPr>
          <w:p>
            <w:pPr>
              <w:spacing w:after="0" w:line="240" w:lineRule="auto"/>
            </w:pPr>
            <w:r>
              <w:t>3</w:t>
            </w:r>
          </w:p>
        </w:tc>
        <w:tc>
          <w:tcPr>
            <w:tcW w:w="993" w:type="dxa"/>
          </w:tcPr>
          <w:p>
            <w:pPr>
              <w:spacing w:after="0" w:line="240" w:lineRule="auto"/>
            </w:pPr>
            <w:r>
              <w:t>3</w:t>
            </w:r>
          </w:p>
        </w:tc>
      </w:tr>
    </w:tbl>
    <w:p/>
    <w:p>
      <w:pPr>
        <w:rPr>
          <w:b/>
        </w:rPr>
      </w:pPr>
      <w:r>
        <w:rPr>
          <w:b/>
        </w:rPr>
        <w:t xml:space="preserve">Appendix 1: Illustrations of comments received. </w:t>
      </w:r>
    </w:p>
    <w:p>
      <w:pPr>
        <w:rPr>
          <w:i/>
        </w:rPr>
      </w:pPr>
      <w:r>
        <w:rPr>
          <w:i/>
        </w:rPr>
        <w:t xml:space="preserve">‘For Strutt &amp; Parker to engage with the Parish regarding the replanting. For there to be a two-way conversation so that resident’s views and requests can be incorporate into the replanting plans. Some of the replanting (e.g. from Stonehouse Lane) can be done as reforestation by the contractor , however the village hall car especially and also the area behind the black and white cottage are in the middle of the village and needs a re-landscaping scheme and tree planting suitable for the area rather than it being replanted as if it was hectare of forest. Particularly the Village Hall area needs a pleasant re-landscaping plan and to incorporate parking’. </w:t>
      </w:r>
    </w:p>
    <w:p>
      <w:pPr>
        <w:rPr>
          <w:i/>
        </w:rPr>
      </w:pPr>
      <w:r>
        <w:rPr>
          <w:i/>
        </w:rPr>
        <w:t>‘Bringing the community/communities together. Social events calendar, or community volunteer groups to help keep those more isolated members of the village engaged.’</w:t>
      </w:r>
    </w:p>
    <w:p>
      <w:pPr>
        <w:rPr>
          <w:i/>
        </w:rPr>
      </w:pPr>
      <w:r>
        <w:t xml:space="preserve"> </w:t>
      </w:r>
      <w:r>
        <w:rPr>
          <w:i/>
        </w:rPr>
        <w:t>‘Communicate with the local farmers/land owners (including the Estate) to ensure that the public footpaths are regularly maintained in line with statutory obligations’.</w:t>
      </w:r>
    </w:p>
    <w:p/>
    <w:p/>
    <w:sectPr>
      <w:headerReference r:id="rId5" w:type="default"/>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b/>
        <w:sz w:val="28"/>
        <w:szCs w:val="28"/>
      </w:rPr>
    </w:pPr>
    <w:r>
      <w:rPr>
        <w:b/>
        <w:sz w:val="28"/>
        <w:szCs w:val="28"/>
      </w:rPr>
      <w:t xml:space="preserve">PECKFORTON PARISH RESIDENTS SURVEY JULY 2022                                                                                                                  </w:t>
    </w:r>
    <w:r>
      <w:rPr>
        <w:b/>
        <w:sz w:val="28"/>
        <w:szCs w:val="28"/>
      </w:rPr>
      <w:drawing>
        <wp:inline distT="0" distB="0" distL="0" distR="0">
          <wp:extent cx="30988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4816" cy="465121"/>
                  </a:xfrm>
                  <a:prstGeom prst="rect">
                    <a:avLst/>
                  </a:prstGeom>
                  <a:noFill/>
                </pic:spPr>
              </pic:pic>
            </a:graphicData>
          </a:graphic>
        </wp:inline>
      </w:drawing>
    </w:r>
    <w:r>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9E"/>
    <w:rsid w:val="001A3BE2"/>
    <w:rsid w:val="00220529"/>
    <w:rsid w:val="00261F75"/>
    <w:rsid w:val="00294521"/>
    <w:rsid w:val="003038E4"/>
    <w:rsid w:val="006116A5"/>
    <w:rsid w:val="00651668"/>
    <w:rsid w:val="00661BD5"/>
    <w:rsid w:val="006E6D8D"/>
    <w:rsid w:val="00976D33"/>
    <w:rsid w:val="009A464E"/>
    <w:rsid w:val="009D4708"/>
    <w:rsid w:val="00AE618D"/>
    <w:rsid w:val="00C63BA4"/>
    <w:rsid w:val="00DA5E44"/>
    <w:rsid w:val="00E85F9E"/>
    <w:rsid w:val="00EA338B"/>
    <w:rsid w:val="00F97D89"/>
    <w:rsid w:val="00FD1965"/>
    <w:rsid w:val="13F475E4"/>
    <w:rsid w:val="163261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13"/>
        <w:tab w:val="right" w:pos="9026"/>
      </w:tabs>
      <w:spacing w:after="0" w:line="240" w:lineRule="auto"/>
    </w:pPr>
  </w:style>
  <w:style w:type="paragraph" w:styleId="5">
    <w:name w:val="header"/>
    <w:basedOn w:val="1"/>
    <w:link w:val="9"/>
    <w:unhideWhenUsed/>
    <w:qFormat/>
    <w:uiPriority w:val="99"/>
    <w:pPr>
      <w:tabs>
        <w:tab w:val="center" w:pos="4513"/>
        <w:tab w:val="right" w:pos="9026"/>
      </w:tabs>
      <w:spacing w:after="0" w:line="240" w:lineRule="auto"/>
    </w:pPr>
  </w:style>
  <w:style w:type="character" w:styleId="6">
    <w:name w:val="Hyperlink"/>
    <w:basedOn w:val="2"/>
    <w:unhideWhenUsed/>
    <w:uiPriority w:val="99"/>
    <w:rPr>
      <w:color w:val="0563C1" w:themeColor="hyperlink"/>
      <w:u w:val="single"/>
      <w14:textFill>
        <w14:solidFill>
          <w14:schemeClr w14:val="hlink"/>
        </w14:solidFill>
      </w14:textFill>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9">
    <w:name w:val="Header Char"/>
    <w:basedOn w:val="2"/>
    <w:link w:val="5"/>
    <w:uiPriority w:val="99"/>
  </w:style>
  <w:style w:type="character" w:customStyle="1" w:styleId="10">
    <w:name w:val="Footer Char"/>
    <w:basedOn w:val="2"/>
    <w:link w:val="4"/>
    <w:uiPriority w:val="99"/>
  </w:style>
  <w:style w:type="character" w:customStyle="1" w:styleId="11">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716611D5D87B4189E3BB83528A6F26" ma:contentTypeVersion="14" ma:contentTypeDescription="Create a new document." ma:contentTypeScope="" ma:versionID="8390c2186d41fc47a2ed9b53f0150175">
  <xsd:schema xmlns:xsd="http://www.w3.org/2001/XMLSchema" xmlns:xs="http://www.w3.org/2001/XMLSchema" xmlns:p="http://schemas.microsoft.com/office/2006/metadata/properties" xmlns:ns3="9614458f-24c6-403c-80c3-15d11c90817a" xmlns:ns4="3871424a-934d-4c74-8001-72f2eb08b4c4" targetNamespace="http://schemas.microsoft.com/office/2006/metadata/properties" ma:root="true" ma:fieldsID="8596c70f36377b090f9fa1cb27e0dd07" ns3:_="" ns4:_="">
    <xsd:import namespace="9614458f-24c6-403c-80c3-15d11c90817a"/>
    <xsd:import namespace="3871424a-934d-4c74-8001-72f2eb08b4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4458f-24c6-403c-80c3-15d11c908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71424a-934d-4c74-8001-72f2eb08b4c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48BA2-F84E-426B-BF75-AB8B58708AD7}">
  <ds:schemaRefs/>
</ds:datastoreItem>
</file>

<file path=customXml/itemProps2.xml><?xml version="1.0" encoding="utf-8"?>
<ds:datastoreItem xmlns:ds="http://schemas.openxmlformats.org/officeDocument/2006/customXml" ds:itemID="{3E09C3FB-8E25-45A0-8E0B-003F7D7C92B2}">
  <ds:schemaRefs/>
</ds:datastoreItem>
</file>

<file path=customXml/itemProps3.xml><?xml version="1.0" encoding="utf-8"?>
<ds:datastoreItem xmlns:ds="http://schemas.openxmlformats.org/officeDocument/2006/customXml" ds:itemID="{12A6C1F3-4836-4573-860B-23D95495283F}">
  <ds:schemaRefs/>
</ds:datastoreItem>
</file>

<file path=customXml/itemProps4.xml><?xml version="1.0" encoding="utf-8"?>
<ds:datastoreItem xmlns:ds="http://schemas.openxmlformats.org/officeDocument/2006/customXml" ds:itemID="{9B2E4BD3-05BD-4F3E-BCD9-ED8C5E551DCB}">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868</Words>
  <Characters>4948</Characters>
  <Lines>41</Lines>
  <Paragraphs>11</Paragraphs>
  <TotalTime>48</TotalTime>
  <ScaleCrop>false</ScaleCrop>
  <LinksUpToDate>false</LinksUpToDate>
  <CharactersWithSpaces>5805</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2022-07-26T08:32:00Z</dcterms:created>
  <dc:creator>John Doyle</dc:creator>
  <cp:lastModifiedBy>Peckforton Parish Clerk</cp:lastModifiedBy>
  <dcterms:modified xsi:type="dcterms:W3CDTF">2022-07-26T17:41:17Z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0x01010057716611D5D87B4189E3BB83528A6F26</vt:lpwstr>
  </property>
  <property fmtid="{D5CDD505-2E9C-101B-9397-08002B2CF9AE}" pid="3" name="KSOProductBuildVer">
    <vt:lpwstr>2057-11.2.0.11191</vt:lpwstr>
  </property>
  <property fmtid="{D5CDD505-2E9C-101B-9397-08002B2CF9AE}" pid="4" name="ICV">
    <vt:lpwstr>F57DB28990DE491AA2F7C5DF81216312</vt:lpwstr>
  </property>
</Properties>
</file>