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85892" w14:textId="77777777" w:rsidR="0079519E" w:rsidRDefault="00000000">
      <w:pPr>
        <w:pStyle w:val="Heading3"/>
        <w:tabs>
          <w:tab w:val="left" w:pos="0"/>
          <w:tab w:val="left" w:pos="8640"/>
          <w:tab w:val="left" w:pos="9630"/>
        </w:tabs>
        <w:spacing w:after="0"/>
        <w:jc w:val="center"/>
        <w:rPr>
          <w:rFonts w:asciiTheme="minorHAnsi" w:hAnsiTheme="minorHAnsi" w:cstheme="minorHAnsi"/>
          <w:b/>
          <w:sz w:val="32"/>
          <w:szCs w:val="32"/>
        </w:rPr>
      </w:pPr>
      <w:r>
        <w:rPr>
          <w:rFonts w:asciiTheme="minorHAnsi" w:hAnsiTheme="minorHAnsi" w:cstheme="minorHAnsi"/>
          <w:b/>
          <w:sz w:val="32"/>
          <w:szCs w:val="32"/>
        </w:rPr>
        <w:t>Peckforton Parish Meeting</w:t>
      </w:r>
    </w:p>
    <w:p w14:paraId="2627125B" w14:textId="77777777" w:rsidR="0079519E" w:rsidRDefault="00000000">
      <w:pPr>
        <w:jc w:val="center"/>
        <w:rPr>
          <w:rFonts w:asciiTheme="minorHAnsi" w:hAnsiTheme="minorHAnsi" w:cstheme="minorHAnsi"/>
          <w:b/>
          <w:sz w:val="24"/>
          <w:szCs w:val="24"/>
        </w:rPr>
      </w:pPr>
      <w:r>
        <w:rPr>
          <w:rFonts w:asciiTheme="minorHAnsi" w:hAnsiTheme="minorHAnsi" w:cstheme="minorHAnsi"/>
          <w:b/>
          <w:sz w:val="32"/>
          <w:szCs w:val="32"/>
        </w:rPr>
        <w:t>Notice of a Parish Meeting to the Electors of the Parish</w:t>
      </w:r>
    </w:p>
    <w:p w14:paraId="3A6012FD" w14:textId="35C2B260" w:rsidR="0079519E" w:rsidRDefault="00000000">
      <w:pPr>
        <w:jc w:val="center"/>
        <w:rPr>
          <w:rFonts w:asciiTheme="minorHAnsi" w:hAnsiTheme="minorHAnsi" w:cstheme="minorHAnsi"/>
          <w:b/>
          <w:sz w:val="24"/>
          <w:szCs w:val="24"/>
        </w:rPr>
      </w:pPr>
      <w:r>
        <w:rPr>
          <w:rFonts w:asciiTheme="minorHAnsi" w:hAnsiTheme="minorHAnsi" w:cstheme="minorHAnsi"/>
          <w:b/>
          <w:sz w:val="24"/>
          <w:szCs w:val="24"/>
        </w:rPr>
        <w:t xml:space="preserve">A Meeting of the Parish is convened by the Chairman of Peckforton Parish Meeting to be </w:t>
      </w:r>
      <w:r w:rsidR="006004DF">
        <w:rPr>
          <w:rFonts w:asciiTheme="minorHAnsi" w:hAnsiTheme="minorHAnsi" w:cstheme="minorHAnsi"/>
          <w:b/>
          <w:sz w:val="24"/>
          <w:szCs w:val="24"/>
        </w:rPr>
        <w:t>held</w:t>
      </w:r>
      <w:r w:rsidR="00F02EE8">
        <w:rPr>
          <w:rFonts w:asciiTheme="minorHAnsi" w:hAnsiTheme="minorHAnsi" w:cstheme="minorHAnsi"/>
          <w:b/>
          <w:sz w:val="24"/>
          <w:szCs w:val="24"/>
        </w:rPr>
        <w:t xml:space="preserve"> </w:t>
      </w:r>
      <w:r w:rsidR="006004DF">
        <w:rPr>
          <w:rFonts w:asciiTheme="minorHAnsi" w:hAnsiTheme="minorHAnsi" w:cstheme="minorHAnsi"/>
          <w:b/>
          <w:sz w:val="24"/>
          <w:szCs w:val="24"/>
        </w:rPr>
        <w:t xml:space="preserve">at 19:00 </w:t>
      </w:r>
      <w:r>
        <w:rPr>
          <w:rFonts w:asciiTheme="minorHAnsi" w:hAnsiTheme="minorHAnsi" w:cstheme="minorHAnsi"/>
          <w:b/>
          <w:sz w:val="24"/>
          <w:szCs w:val="24"/>
        </w:rPr>
        <w:t xml:space="preserve">on Tuesday </w:t>
      </w:r>
      <w:r w:rsidR="00BC3E04">
        <w:rPr>
          <w:rFonts w:asciiTheme="minorHAnsi" w:hAnsiTheme="minorHAnsi" w:cstheme="minorHAnsi"/>
          <w:b/>
          <w:sz w:val="24"/>
          <w:szCs w:val="24"/>
        </w:rPr>
        <w:t xml:space="preserve"> </w:t>
      </w:r>
      <w:r w:rsidR="0057758B">
        <w:rPr>
          <w:rFonts w:asciiTheme="minorHAnsi" w:hAnsiTheme="minorHAnsi" w:cstheme="minorHAnsi"/>
          <w:b/>
          <w:sz w:val="24"/>
          <w:szCs w:val="24"/>
        </w:rPr>
        <w:t>10</w:t>
      </w:r>
      <w:r w:rsidR="00C52B16">
        <w:rPr>
          <w:rFonts w:asciiTheme="minorHAnsi" w:hAnsiTheme="minorHAnsi" w:cstheme="minorHAnsi"/>
          <w:b/>
          <w:sz w:val="24"/>
          <w:szCs w:val="24"/>
          <w:vertAlign w:val="superscript"/>
        </w:rPr>
        <w:t>th</w:t>
      </w:r>
      <w:r w:rsidR="00BC3E04">
        <w:rPr>
          <w:rFonts w:asciiTheme="minorHAnsi" w:hAnsiTheme="minorHAnsi" w:cstheme="minorHAnsi"/>
          <w:b/>
          <w:sz w:val="24"/>
          <w:szCs w:val="24"/>
        </w:rPr>
        <w:t xml:space="preserve"> </w:t>
      </w:r>
      <w:r w:rsidR="0057758B">
        <w:rPr>
          <w:rFonts w:asciiTheme="minorHAnsi" w:hAnsiTheme="minorHAnsi" w:cstheme="minorHAnsi"/>
          <w:b/>
          <w:sz w:val="24"/>
          <w:szCs w:val="24"/>
        </w:rPr>
        <w:t>March 2026</w:t>
      </w:r>
      <w:r>
        <w:rPr>
          <w:rFonts w:asciiTheme="minorHAnsi" w:hAnsiTheme="minorHAnsi" w:cstheme="minorHAnsi"/>
          <w:b/>
          <w:sz w:val="24"/>
          <w:szCs w:val="24"/>
        </w:rPr>
        <w:t>, at  Peckforton and Beeston Village Hall.</w:t>
      </w:r>
    </w:p>
    <w:p w14:paraId="3A98EFFC" w14:textId="77777777" w:rsidR="0079519E" w:rsidRDefault="0079519E">
      <w:pPr>
        <w:rPr>
          <w:rFonts w:asciiTheme="minorHAnsi" w:hAnsiTheme="minorHAnsi" w:cstheme="minorHAnsi"/>
          <w:bCs/>
          <w:sz w:val="22"/>
          <w:szCs w:val="22"/>
        </w:rPr>
      </w:pPr>
    </w:p>
    <w:p w14:paraId="1B191B8A" w14:textId="64E48D32" w:rsidR="0079519E" w:rsidRDefault="00000000">
      <w:pPr>
        <w:rPr>
          <w:rFonts w:asciiTheme="minorHAnsi" w:hAnsiTheme="minorHAnsi" w:cstheme="minorHAnsi"/>
          <w:b/>
          <w:sz w:val="22"/>
          <w:szCs w:val="22"/>
        </w:rPr>
      </w:pPr>
      <w:r>
        <w:rPr>
          <w:rFonts w:asciiTheme="minorHAnsi" w:hAnsiTheme="minorHAnsi" w:cstheme="minorHAnsi"/>
          <w:b/>
          <w:sz w:val="22"/>
          <w:szCs w:val="22"/>
        </w:rPr>
        <w:t xml:space="preserve">Date of Notice </w:t>
      </w:r>
      <w:r w:rsidR="00BC3E04">
        <w:rPr>
          <w:rFonts w:asciiTheme="minorHAnsi" w:hAnsiTheme="minorHAnsi" w:cstheme="minorHAnsi"/>
          <w:b/>
          <w:sz w:val="22"/>
          <w:szCs w:val="22"/>
        </w:rPr>
        <w:t>–</w:t>
      </w:r>
      <w:r>
        <w:rPr>
          <w:rFonts w:asciiTheme="minorHAnsi" w:hAnsiTheme="minorHAnsi" w:cstheme="minorHAnsi"/>
          <w:b/>
          <w:sz w:val="22"/>
          <w:szCs w:val="22"/>
        </w:rPr>
        <w:t xml:space="preserve"> </w:t>
      </w:r>
      <w:r w:rsidR="00C05B48">
        <w:rPr>
          <w:rFonts w:asciiTheme="minorHAnsi" w:hAnsiTheme="minorHAnsi" w:cstheme="minorHAnsi"/>
          <w:b/>
          <w:sz w:val="22"/>
          <w:szCs w:val="22"/>
        </w:rPr>
        <w:t>2</w:t>
      </w:r>
      <w:r w:rsidR="00C05B48">
        <w:rPr>
          <w:rFonts w:asciiTheme="minorHAnsi" w:hAnsiTheme="minorHAnsi" w:cstheme="minorHAnsi"/>
          <w:b/>
          <w:sz w:val="22"/>
          <w:szCs w:val="22"/>
          <w:vertAlign w:val="superscript"/>
        </w:rPr>
        <w:t>nd</w:t>
      </w:r>
      <w:r w:rsidR="00BC3E04">
        <w:rPr>
          <w:rFonts w:asciiTheme="minorHAnsi" w:hAnsiTheme="minorHAnsi" w:cstheme="minorHAnsi"/>
          <w:b/>
          <w:sz w:val="22"/>
          <w:szCs w:val="22"/>
        </w:rPr>
        <w:t xml:space="preserve"> </w:t>
      </w:r>
      <w:r w:rsidR="0057758B">
        <w:rPr>
          <w:rFonts w:asciiTheme="minorHAnsi" w:hAnsiTheme="minorHAnsi" w:cstheme="minorHAnsi"/>
          <w:b/>
          <w:sz w:val="22"/>
          <w:szCs w:val="22"/>
        </w:rPr>
        <w:t>March 2026</w:t>
      </w:r>
    </w:p>
    <w:p w14:paraId="7602397A" w14:textId="77777777" w:rsidR="0057758B" w:rsidRDefault="0057758B">
      <w:pPr>
        <w:rPr>
          <w:rFonts w:asciiTheme="minorHAnsi" w:hAnsiTheme="minorHAnsi" w:cstheme="minorHAnsi"/>
          <w:bCs/>
          <w:sz w:val="22"/>
          <w:szCs w:val="22"/>
        </w:rPr>
      </w:pPr>
    </w:p>
    <w:p w14:paraId="6673708C" w14:textId="77777777" w:rsidR="0079519E" w:rsidRDefault="00000000">
      <w:pPr>
        <w:rPr>
          <w:rFonts w:asciiTheme="minorHAnsi" w:hAnsiTheme="minorHAnsi" w:cstheme="minorHAnsi"/>
          <w:bCs/>
          <w:sz w:val="22"/>
          <w:szCs w:val="22"/>
        </w:rPr>
      </w:pPr>
      <w:r>
        <w:rPr>
          <w:rFonts w:asciiTheme="minorHAnsi" w:hAnsiTheme="minorHAnsi" w:cstheme="minorHAnsi"/>
          <w:bCs/>
          <w:sz w:val="22"/>
          <w:szCs w:val="22"/>
        </w:rPr>
        <w:t xml:space="preserve">The Parish Meeting welcomes attendance by members of the public, but note that attendees who are not electors in the parish will not be able to vote at this meeting. </w:t>
      </w:r>
    </w:p>
    <w:p w14:paraId="67C1224B" w14:textId="77777777" w:rsidR="0079519E" w:rsidRDefault="00000000">
      <w:pPr>
        <w:rPr>
          <w:rFonts w:asciiTheme="minorHAnsi" w:hAnsiTheme="minorHAnsi" w:cstheme="minorHAnsi"/>
          <w:bCs/>
          <w:sz w:val="22"/>
          <w:szCs w:val="22"/>
        </w:rPr>
      </w:pPr>
      <w:r>
        <w:rPr>
          <w:rFonts w:asciiTheme="minorHAnsi" w:hAnsiTheme="minorHAnsi" w:cstheme="minorHAnsi"/>
          <w:bCs/>
          <w:sz w:val="22"/>
          <w:szCs w:val="22"/>
        </w:rPr>
        <w:t xml:space="preserve">Please contact the Clerk, Chris Jones at </w:t>
      </w:r>
      <w:hyperlink r:id="rId7" w:history="1">
        <w:r w:rsidR="0079519E">
          <w:rPr>
            <w:rStyle w:val="Hyperlink"/>
            <w:rFonts w:asciiTheme="minorHAnsi" w:hAnsiTheme="minorHAnsi" w:cstheme="minorHAnsi"/>
            <w:bCs/>
            <w:sz w:val="22"/>
            <w:szCs w:val="22"/>
          </w:rPr>
          <w:t>peckfortonparishclerk@gmail.com</w:t>
        </w:r>
      </w:hyperlink>
      <w:r>
        <w:rPr>
          <w:rFonts w:asciiTheme="minorHAnsi" w:hAnsiTheme="minorHAnsi" w:cstheme="minorHAnsi"/>
          <w:bCs/>
          <w:sz w:val="22"/>
          <w:szCs w:val="22"/>
        </w:rPr>
        <w:t xml:space="preserve"> with any queries.</w:t>
      </w:r>
    </w:p>
    <w:p w14:paraId="4E2F16EE" w14:textId="77777777" w:rsidR="0079519E" w:rsidRDefault="0079519E"/>
    <w:p w14:paraId="0F3AF11E" w14:textId="1A1522AE" w:rsidR="0079519E" w:rsidRDefault="00000000">
      <w:pPr>
        <w:pStyle w:val="Heading8"/>
        <w:spacing w:after="120"/>
        <w:rPr>
          <w:rFonts w:asciiTheme="minorHAnsi" w:hAnsiTheme="minorHAnsi" w:cstheme="minorHAnsi"/>
          <w:sz w:val="22"/>
          <w:szCs w:val="22"/>
        </w:rPr>
      </w:pPr>
      <w:r>
        <w:rPr>
          <w:rFonts w:asciiTheme="minorHAnsi" w:hAnsiTheme="minorHAnsi" w:cstheme="minorHAnsi"/>
          <w:sz w:val="22"/>
          <w:szCs w:val="22"/>
        </w:rPr>
        <w:t xml:space="preserve">Agenda </w:t>
      </w:r>
      <w:r w:rsidR="00BC3E04">
        <w:rPr>
          <w:rFonts w:asciiTheme="minorHAnsi" w:hAnsiTheme="minorHAnsi" w:cstheme="minorHAnsi"/>
          <w:sz w:val="22"/>
          <w:szCs w:val="22"/>
        </w:rPr>
        <w:t>–</w:t>
      </w:r>
      <w:r>
        <w:rPr>
          <w:rFonts w:asciiTheme="minorHAnsi" w:hAnsiTheme="minorHAnsi" w:cstheme="minorHAnsi"/>
          <w:sz w:val="22"/>
          <w:szCs w:val="22"/>
        </w:rPr>
        <w:t xml:space="preserve"> </w:t>
      </w:r>
      <w:r w:rsidR="003511D4">
        <w:rPr>
          <w:rFonts w:asciiTheme="minorHAnsi" w:hAnsiTheme="minorHAnsi" w:cstheme="minorHAnsi"/>
          <w:sz w:val="22"/>
          <w:szCs w:val="22"/>
        </w:rPr>
        <w:t xml:space="preserve">March </w:t>
      </w:r>
      <w:r w:rsidR="00BC3E04">
        <w:rPr>
          <w:rFonts w:asciiTheme="minorHAnsi" w:hAnsiTheme="minorHAnsi" w:cstheme="minorHAnsi"/>
          <w:sz w:val="22"/>
          <w:szCs w:val="22"/>
        </w:rPr>
        <w:t>202</w:t>
      </w:r>
      <w:r w:rsidR="003511D4">
        <w:rPr>
          <w:rFonts w:asciiTheme="minorHAnsi" w:hAnsiTheme="minorHAnsi" w:cstheme="minorHAnsi"/>
          <w:sz w:val="22"/>
          <w:szCs w:val="22"/>
        </w:rPr>
        <w:t>6</w:t>
      </w:r>
      <w:r>
        <w:rPr>
          <w:rFonts w:asciiTheme="minorHAnsi" w:hAnsiTheme="minorHAnsi" w:cstheme="minorHAnsi"/>
          <w:sz w:val="22"/>
          <w:szCs w:val="22"/>
        </w:rPr>
        <w:t xml:space="preserve"> Parish Meeting </w:t>
      </w:r>
    </w:p>
    <w:p w14:paraId="370C2BFD" w14:textId="77777777" w:rsidR="0079519E" w:rsidRDefault="00000000">
      <w:pPr>
        <w:numPr>
          <w:ilvl w:val="0"/>
          <w:numId w:val="4"/>
        </w:numPr>
        <w:spacing w:after="120"/>
        <w:jc w:val="left"/>
        <w:rPr>
          <w:rFonts w:asciiTheme="minorHAnsi" w:hAnsiTheme="minorHAnsi" w:cstheme="minorHAnsi"/>
          <w:sz w:val="22"/>
          <w:szCs w:val="22"/>
        </w:rPr>
      </w:pPr>
      <w:r>
        <w:rPr>
          <w:rFonts w:asciiTheme="minorHAnsi" w:hAnsiTheme="minorHAnsi" w:cstheme="minorHAnsi"/>
          <w:sz w:val="22"/>
          <w:szCs w:val="22"/>
        </w:rPr>
        <w:t>Apologies for absence.</w:t>
      </w:r>
    </w:p>
    <w:p w14:paraId="3EC62157" w14:textId="49BB44D0" w:rsidR="0079519E" w:rsidRDefault="00000000" w:rsidP="0003125D">
      <w:pPr>
        <w:numPr>
          <w:ilvl w:val="0"/>
          <w:numId w:val="4"/>
        </w:numPr>
        <w:spacing w:after="120"/>
        <w:jc w:val="left"/>
        <w:rPr>
          <w:rFonts w:asciiTheme="minorHAnsi" w:hAnsiTheme="minorHAnsi" w:cstheme="minorHAnsi"/>
          <w:sz w:val="22"/>
          <w:szCs w:val="22"/>
        </w:rPr>
      </w:pPr>
      <w:r>
        <w:rPr>
          <w:rFonts w:asciiTheme="minorHAnsi" w:hAnsiTheme="minorHAnsi" w:cstheme="minorHAnsi"/>
          <w:sz w:val="22"/>
          <w:szCs w:val="22"/>
        </w:rPr>
        <w:t>Declaration of interests – Officers are to declare any interests under the following categories: - pecuniary,</w:t>
      </w:r>
      <w:r w:rsidR="00337103">
        <w:rPr>
          <w:rFonts w:asciiTheme="minorHAnsi" w:hAnsiTheme="minorHAnsi" w:cstheme="minorHAnsi"/>
          <w:sz w:val="22"/>
          <w:szCs w:val="22"/>
        </w:rPr>
        <w:t xml:space="preserve"> </w:t>
      </w:r>
      <w:r>
        <w:rPr>
          <w:rFonts w:asciiTheme="minorHAnsi" w:hAnsiTheme="minorHAnsi" w:cstheme="minorHAnsi"/>
          <w:sz w:val="22"/>
          <w:szCs w:val="22"/>
        </w:rPr>
        <w:t xml:space="preserve">outside body, family, friend or close associate.   </w:t>
      </w:r>
    </w:p>
    <w:p w14:paraId="087D6067" w14:textId="4E0A1492" w:rsidR="00F02EE8" w:rsidRPr="00F02EE8" w:rsidRDefault="00000000" w:rsidP="00337103">
      <w:pPr>
        <w:numPr>
          <w:ilvl w:val="0"/>
          <w:numId w:val="4"/>
        </w:numPr>
        <w:spacing w:after="120"/>
        <w:jc w:val="left"/>
        <w:rPr>
          <w:rFonts w:asciiTheme="minorHAnsi" w:hAnsiTheme="minorHAnsi" w:cstheme="minorHAnsi"/>
          <w:sz w:val="22"/>
          <w:szCs w:val="22"/>
        </w:rPr>
      </w:pPr>
      <w:r w:rsidRPr="00F02EE8">
        <w:rPr>
          <w:rFonts w:asciiTheme="minorHAnsi" w:hAnsiTheme="minorHAnsi" w:cstheme="minorHAnsi"/>
          <w:sz w:val="22"/>
          <w:szCs w:val="22"/>
        </w:rPr>
        <w:t xml:space="preserve">Declaration of interests – </w:t>
      </w:r>
      <w:r w:rsidR="00D03502">
        <w:rPr>
          <w:rFonts w:asciiTheme="minorHAnsi" w:hAnsiTheme="minorHAnsi" w:cstheme="minorHAnsi"/>
          <w:sz w:val="22"/>
          <w:szCs w:val="22"/>
        </w:rPr>
        <w:t>Residents</w:t>
      </w:r>
      <w:r w:rsidRPr="00F02EE8">
        <w:rPr>
          <w:rFonts w:asciiTheme="minorHAnsi" w:hAnsiTheme="minorHAnsi" w:cstheme="minorHAnsi"/>
          <w:sz w:val="22"/>
          <w:szCs w:val="22"/>
        </w:rPr>
        <w:t xml:space="preserve"> may if they wish declare any interests under the following categories:</w:t>
      </w:r>
      <w:r w:rsidR="00337103">
        <w:rPr>
          <w:rFonts w:asciiTheme="minorHAnsi" w:hAnsiTheme="minorHAnsi" w:cstheme="minorHAnsi"/>
          <w:sz w:val="22"/>
          <w:szCs w:val="22"/>
        </w:rPr>
        <w:t xml:space="preserve"> </w:t>
      </w:r>
      <w:r w:rsidRPr="00F02EE8">
        <w:rPr>
          <w:rFonts w:asciiTheme="minorHAnsi" w:hAnsiTheme="minorHAnsi" w:cstheme="minorHAnsi"/>
          <w:sz w:val="22"/>
          <w:szCs w:val="22"/>
        </w:rPr>
        <w:t>pecuniary, outside body, family, friend or close associate</w:t>
      </w:r>
      <w:r w:rsidR="00D03502">
        <w:rPr>
          <w:rFonts w:asciiTheme="minorHAnsi" w:hAnsiTheme="minorHAnsi" w:cstheme="minorHAnsi"/>
          <w:sz w:val="22"/>
          <w:szCs w:val="22"/>
        </w:rPr>
        <w:t>. It would be helpful if any attendees</w:t>
      </w:r>
      <w:r w:rsidR="00DD1D9A">
        <w:rPr>
          <w:rFonts w:asciiTheme="minorHAnsi" w:hAnsiTheme="minorHAnsi" w:cstheme="minorHAnsi"/>
          <w:sz w:val="22"/>
          <w:szCs w:val="22"/>
        </w:rPr>
        <w:t xml:space="preserve"> at the meeting</w:t>
      </w:r>
      <w:r w:rsidR="00D03502">
        <w:rPr>
          <w:rFonts w:asciiTheme="minorHAnsi" w:hAnsiTheme="minorHAnsi" w:cstheme="minorHAnsi"/>
          <w:sz w:val="22"/>
          <w:szCs w:val="22"/>
        </w:rPr>
        <w:t xml:space="preserve"> who are not entitled to vote at a Parish Meeting were to make themselves known to the Clerk.</w:t>
      </w:r>
    </w:p>
    <w:p w14:paraId="6E2FEDE5" w14:textId="3B555A70" w:rsidR="00B75E8C" w:rsidRPr="00F02EE8" w:rsidRDefault="00000000" w:rsidP="00211C3F">
      <w:pPr>
        <w:numPr>
          <w:ilvl w:val="0"/>
          <w:numId w:val="4"/>
        </w:numPr>
        <w:spacing w:after="120"/>
        <w:jc w:val="left"/>
        <w:rPr>
          <w:rFonts w:ascii="Calibri" w:hAnsi="Calibri" w:cs="Calibri"/>
          <w:sz w:val="22"/>
          <w:szCs w:val="22"/>
          <w:lang w:eastAsia="zh-CN"/>
        </w:rPr>
      </w:pPr>
      <w:r w:rsidRPr="00F02EE8">
        <w:rPr>
          <w:rFonts w:asciiTheme="minorHAnsi" w:hAnsiTheme="minorHAnsi" w:cstheme="minorHAnsi"/>
          <w:sz w:val="22"/>
          <w:szCs w:val="22"/>
        </w:rPr>
        <w:t xml:space="preserve">Approve the minutes of the previous meeting held </w:t>
      </w:r>
      <w:r w:rsidR="00F02EE8" w:rsidRPr="00F02EE8">
        <w:rPr>
          <w:rFonts w:asciiTheme="minorHAnsi" w:hAnsiTheme="minorHAnsi" w:cstheme="minorHAnsi"/>
          <w:sz w:val="22"/>
          <w:szCs w:val="22"/>
        </w:rPr>
        <w:t xml:space="preserve">on </w:t>
      </w:r>
      <w:r w:rsidR="0057758B">
        <w:rPr>
          <w:rFonts w:asciiTheme="minorHAnsi" w:hAnsiTheme="minorHAnsi" w:cstheme="minorHAnsi"/>
          <w:sz w:val="22"/>
          <w:szCs w:val="22"/>
        </w:rPr>
        <w:t>9</w:t>
      </w:r>
      <w:r w:rsidR="0057758B">
        <w:rPr>
          <w:rFonts w:asciiTheme="minorHAnsi" w:hAnsiTheme="minorHAnsi" w:cstheme="minorHAnsi"/>
          <w:sz w:val="22"/>
          <w:szCs w:val="22"/>
          <w:vertAlign w:val="superscript"/>
        </w:rPr>
        <w:t>th</w:t>
      </w:r>
      <w:r w:rsidR="00C52B16">
        <w:rPr>
          <w:rFonts w:asciiTheme="minorHAnsi" w:hAnsiTheme="minorHAnsi" w:cstheme="minorHAnsi"/>
          <w:sz w:val="22"/>
          <w:szCs w:val="22"/>
        </w:rPr>
        <w:t xml:space="preserve"> </w:t>
      </w:r>
      <w:r w:rsidR="0057758B">
        <w:rPr>
          <w:rFonts w:asciiTheme="minorHAnsi" w:hAnsiTheme="minorHAnsi" w:cstheme="minorHAnsi"/>
          <w:sz w:val="22"/>
          <w:szCs w:val="22"/>
        </w:rPr>
        <w:t>Dec</w:t>
      </w:r>
      <w:r w:rsidR="00C52B16">
        <w:rPr>
          <w:rFonts w:asciiTheme="minorHAnsi" w:hAnsiTheme="minorHAnsi" w:cstheme="minorHAnsi"/>
          <w:sz w:val="22"/>
          <w:szCs w:val="22"/>
        </w:rPr>
        <w:t xml:space="preserve">ember </w:t>
      </w:r>
      <w:r w:rsidR="00F02EE8" w:rsidRPr="00F02EE8">
        <w:rPr>
          <w:rFonts w:asciiTheme="minorHAnsi" w:hAnsiTheme="minorHAnsi" w:cstheme="minorHAnsi"/>
          <w:sz w:val="22"/>
          <w:szCs w:val="22"/>
        </w:rPr>
        <w:t>2025</w:t>
      </w:r>
      <w:r w:rsidR="00BC3E04" w:rsidRPr="00F02EE8">
        <w:rPr>
          <w:rFonts w:asciiTheme="minorHAnsi" w:hAnsiTheme="minorHAnsi" w:cstheme="minorHAnsi"/>
          <w:sz w:val="22"/>
          <w:szCs w:val="22"/>
        </w:rPr>
        <w:t>.</w:t>
      </w:r>
    </w:p>
    <w:p w14:paraId="632D4921" w14:textId="52C2622E" w:rsidR="00F02EE8" w:rsidRDefault="00B75E8C">
      <w:pPr>
        <w:numPr>
          <w:ilvl w:val="0"/>
          <w:numId w:val="4"/>
        </w:numPr>
        <w:spacing w:after="120"/>
        <w:jc w:val="left"/>
        <w:rPr>
          <w:rFonts w:asciiTheme="minorHAnsi" w:hAnsiTheme="minorHAnsi" w:cstheme="minorHAnsi"/>
          <w:sz w:val="22"/>
          <w:szCs w:val="22"/>
        </w:rPr>
      </w:pPr>
      <w:r>
        <w:rPr>
          <w:rFonts w:asciiTheme="minorHAnsi" w:hAnsiTheme="minorHAnsi" w:cstheme="minorHAnsi"/>
          <w:sz w:val="22"/>
          <w:szCs w:val="22"/>
        </w:rPr>
        <w:t xml:space="preserve">Chairs Report to </w:t>
      </w:r>
      <w:r w:rsidR="00F02EE8">
        <w:rPr>
          <w:rFonts w:asciiTheme="minorHAnsi" w:hAnsiTheme="minorHAnsi" w:cstheme="minorHAnsi"/>
          <w:sz w:val="22"/>
          <w:szCs w:val="22"/>
        </w:rPr>
        <w:t xml:space="preserve">include, </w:t>
      </w:r>
    </w:p>
    <w:p w14:paraId="38709CE0" w14:textId="7E6FC246" w:rsidR="00F02EE8" w:rsidRDefault="006C2644" w:rsidP="00F02EE8">
      <w:pPr>
        <w:numPr>
          <w:ilvl w:val="1"/>
          <w:numId w:val="4"/>
        </w:numPr>
        <w:tabs>
          <w:tab w:val="left" w:pos="567"/>
        </w:tabs>
        <w:spacing w:after="120"/>
        <w:jc w:val="left"/>
        <w:rPr>
          <w:rFonts w:asciiTheme="minorHAnsi" w:hAnsiTheme="minorHAnsi" w:cstheme="minorHAnsi"/>
          <w:sz w:val="22"/>
          <w:szCs w:val="22"/>
        </w:rPr>
      </w:pPr>
      <w:r>
        <w:rPr>
          <w:rFonts w:asciiTheme="minorHAnsi" w:hAnsiTheme="minorHAnsi" w:cstheme="minorHAnsi"/>
          <w:sz w:val="22"/>
          <w:szCs w:val="22"/>
        </w:rPr>
        <w:t xml:space="preserve">Road </w:t>
      </w:r>
      <w:r w:rsidR="00B75E8C">
        <w:rPr>
          <w:rFonts w:asciiTheme="minorHAnsi" w:hAnsiTheme="minorHAnsi" w:cstheme="minorHAnsi"/>
          <w:sz w:val="22"/>
          <w:szCs w:val="22"/>
        </w:rPr>
        <w:t>Speed Issue in Peckforton</w:t>
      </w:r>
      <w:r w:rsidR="00F02EE8">
        <w:rPr>
          <w:rFonts w:asciiTheme="minorHAnsi" w:hAnsiTheme="minorHAnsi" w:cstheme="minorHAnsi"/>
          <w:sz w:val="22"/>
          <w:szCs w:val="22"/>
        </w:rPr>
        <w:t xml:space="preserve">. </w:t>
      </w:r>
    </w:p>
    <w:p w14:paraId="4A688F47" w14:textId="24964ACF" w:rsidR="00F02EE8" w:rsidRDefault="00B75E8C" w:rsidP="00F02EE8">
      <w:pPr>
        <w:numPr>
          <w:ilvl w:val="1"/>
          <w:numId w:val="4"/>
        </w:numPr>
        <w:tabs>
          <w:tab w:val="left" w:pos="567"/>
        </w:tabs>
        <w:spacing w:after="120"/>
        <w:jc w:val="left"/>
        <w:rPr>
          <w:rFonts w:asciiTheme="minorHAnsi" w:hAnsiTheme="minorHAnsi" w:cstheme="minorHAnsi"/>
          <w:sz w:val="22"/>
          <w:szCs w:val="22"/>
        </w:rPr>
      </w:pPr>
      <w:r>
        <w:rPr>
          <w:rFonts w:asciiTheme="minorHAnsi" w:hAnsiTheme="minorHAnsi" w:cstheme="minorHAnsi"/>
          <w:sz w:val="22"/>
          <w:szCs w:val="22"/>
        </w:rPr>
        <w:t xml:space="preserve"> Estate matters</w:t>
      </w:r>
    </w:p>
    <w:p w14:paraId="1C94207B" w14:textId="77777777" w:rsidR="00353410" w:rsidRPr="00353410" w:rsidRDefault="00B75E8C" w:rsidP="00353410">
      <w:pPr>
        <w:numPr>
          <w:ilvl w:val="1"/>
          <w:numId w:val="4"/>
        </w:numPr>
        <w:tabs>
          <w:tab w:val="left" w:pos="567"/>
        </w:tabs>
        <w:spacing w:after="120"/>
        <w:jc w:val="left"/>
        <w:rPr>
          <w:rFonts w:ascii="Calibri" w:hAnsi="Calibri" w:cs="Calibri"/>
          <w:sz w:val="22"/>
          <w:szCs w:val="22"/>
          <w:lang w:eastAsia="zh-CN"/>
        </w:rPr>
      </w:pPr>
      <w:r w:rsidRPr="00353410">
        <w:rPr>
          <w:rFonts w:asciiTheme="minorHAnsi" w:hAnsiTheme="minorHAnsi" w:cstheme="minorHAnsi"/>
          <w:sz w:val="22"/>
          <w:szCs w:val="22"/>
        </w:rPr>
        <w:t xml:space="preserve"> Village Hall car park fencing  and other current topics will also be covered.</w:t>
      </w:r>
    </w:p>
    <w:p w14:paraId="2382520C" w14:textId="4102A495" w:rsidR="00A35D75" w:rsidRPr="00353410" w:rsidRDefault="00000000" w:rsidP="00353410">
      <w:pPr>
        <w:numPr>
          <w:ilvl w:val="0"/>
          <w:numId w:val="4"/>
        </w:numPr>
        <w:spacing w:after="120"/>
        <w:jc w:val="left"/>
        <w:rPr>
          <w:rFonts w:ascii="Calibri" w:hAnsi="Calibri" w:cs="Calibri"/>
          <w:sz w:val="22"/>
          <w:szCs w:val="22"/>
          <w:lang w:eastAsia="zh-CN"/>
        </w:rPr>
      </w:pPr>
      <w:r w:rsidRPr="00353410">
        <w:rPr>
          <w:rFonts w:asciiTheme="minorHAnsi" w:hAnsiTheme="minorHAnsi" w:cstheme="minorHAnsi"/>
          <w:sz w:val="22"/>
          <w:szCs w:val="22"/>
        </w:rPr>
        <w:t>To receive the Clerk’s report, including</w:t>
      </w:r>
      <w:r w:rsidR="00825505" w:rsidRPr="00353410">
        <w:rPr>
          <w:rFonts w:asciiTheme="minorHAnsi" w:hAnsiTheme="minorHAnsi" w:cstheme="minorHAnsi"/>
          <w:sz w:val="22"/>
          <w:szCs w:val="22"/>
        </w:rPr>
        <w:t xml:space="preserve"> any</w:t>
      </w:r>
      <w:r w:rsidR="00A475D4" w:rsidRPr="00353410">
        <w:rPr>
          <w:rFonts w:asciiTheme="minorHAnsi" w:hAnsiTheme="minorHAnsi" w:cstheme="minorHAnsi"/>
          <w:sz w:val="22"/>
          <w:szCs w:val="22"/>
        </w:rPr>
        <w:t xml:space="preserve"> </w:t>
      </w:r>
      <w:r w:rsidRPr="00353410">
        <w:rPr>
          <w:rFonts w:asciiTheme="minorHAnsi" w:hAnsiTheme="minorHAnsi" w:cstheme="minorHAnsi"/>
          <w:sz w:val="22"/>
          <w:szCs w:val="22"/>
        </w:rPr>
        <w:t>planning matters that come to hand</w:t>
      </w:r>
      <w:r w:rsidR="00353410">
        <w:rPr>
          <w:rFonts w:asciiTheme="minorHAnsi" w:hAnsiTheme="minorHAnsi" w:cstheme="minorHAnsi"/>
          <w:sz w:val="22"/>
          <w:szCs w:val="22"/>
        </w:rPr>
        <w:t>, and note the financial summary below showing the information to 28</w:t>
      </w:r>
      <w:r w:rsidR="00353410" w:rsidRPr="00353410">
        <w:rPr>
          <w:rFonts w:asciiTheme="minorHAnsi" w:hAnsiTheme="minorHAnsi" w:cstheme="minorHAnsi"/>
          <w:sz w:val="22"/>
          <w:szCs w:val="22"/>
          <w:vertAlign w:val="superscript"/>
        </w:rPr>
        <w:t>th</w:t>
      </w:r>
      <w:r w:rsidR="00353410">
        <w:rPr>
          <w:rFonts w:asciiTheme="minorHAnsi" w:hAnsiTheme="minorHAnsi" w:cstheme="minorHAnsi"/>
          <w:sz w:val="22"/>
          <w:szCs w:val="22"/>
        </w:rPr>
        <w:t xml:space="preserve"> February 2026.</w:t>
      </w:r>
    </w:p>
    <w:tbl>
      <w:tblPr>
        <w:tblW w:w="10080" w:type="dxa"/>
        <w:tblLook w:val="04A0" w:firstRow="1" w:lastRow="0" w:firstColumn="1" w:lastColumn="0" w:noHBand="0" w:noVBand="1"/>
      </w:tblPr>
      <w:tblGrid>
        <w:gridCol w:w="4568"/>
        <w:gridCol w:w="1156"/>
        <w:gridCol w:w="1314"/>
        <w:gridCol w:w="1432"/>
        <w:gridCol w:w="1610"/>
      </w:tblGrid>
      <w:tr w:rsidR="00353410" w:rsidRPr="00353410" w14:paraId="5E7E9CBE" w14:textId="77777777" w:rsidTr="00353410">
        <w:trPr>
          <w:trHeight w:val="580"/>
        </w:trPr>
        <w:tc>
          <w:tcPr>
            <w:tcW w:w="4568" w:type="dxa"/>
            <w:tcBorders>
              <w:top w:val="single" w:sz="8" w:space="0" w:color="auto"/>
              <w:left w:val="single" w:sz="8" w:space="0" w:color="auto"/>
              <w:bottom w:val="nil"/>
              <w:right w:val="nil"/>
            </w:tcBorders>
            <w:noWrap/>
            <w:vAlign w:val="center"/>
            <w:hideMark/>
          </w:tcPr>
          <w:p w14:paraId="080F4ABF" w14:textId="77777777" w:rsidR="00353410" w:rsidRPr="00353410" w:rsidRDefault="00353410" w:rsidP="00353410">
            <w:pPr>
              <w:jc w:val="lef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w:t>
            </w:r>
          </w:p>
        </w:tc>
        <w:tc>
          <w:tcPr>
            <w:tcW w:w="1156" w:type="dxa"/>
            <w:tcBorders>
              <w:top w:val="single" w:sz="8" w:space="0" w:color="auto"/>
              <w:left w:val="nil"/>
              <w:bottom w:val="nil"/>
              <w:right w:val="nil"/>
            </w:tcBorders>
            <w:shd w:val="clear" w:color="000000" w:fill="D9D9D9"/>
            <w:noWrap/>
            <w:vAlign w:val="center"/>
            <w:hideMark/>
          </w:tcPr>
          <w:p w14:paraId="4DB34785" w14:textId="77777777" w:rsidR="00353410" w:rsidRPr="00353410" w:rsidRDefault="00353410" w:rsidP="00353410">
            <w:pPr>
              <w:jc w:val="center"/>
              <w:rPr>
                <w:rFonts w:ascii="Calibri" w:hAnsi="Calibri" w:cs="Calibri"/>
                <w:b/>
                <w:bCs/>
                <w:color w:val="000000"/>
                <w:spacing w:val="0"/>
                <w:sz w:val="22"/>
                <w:szCs w:val="22"/>
                <w:lang w:eastAsia="en-GB"/>
              </w:rPr>
            </w:pPr>
            <w:r w:rsidRPr="00353410">
              <w:rPr>
                <w:rFonts w:ascii="Calibri" w:hAnsi="Calibri" w:cs="Calibri"/>
                <w:b/>
                <w:bCs/>
                <w:color w:val="000000"/>
                <w:spacing w:val="0"/>
                <w:sz w:val="22"/>
                <w:szCs w:val="22"/>
                <w:lang w:eastAsia="en-GB"/>
              </w:rPr>
              <w:t> </w:t>
            </w:r>
          </w:p>
        </w:tc>
        <w:tc>
          <w:tcPr>
            <w:tcW w:w="1314" w:type="dxa"/>
            <w:tcBorders>
              <w:top w:val="single" w:sz="8" w:space="0" w:color="auto"/>
              <w:left w:val="nil"/>
              <w:bottom w:val="nil"/>
              <w:right w:val="nil"/>
            </w:tcBorders>
            <w:shd w:val="clear" w:color="000000" w:fill="D9D9D9"/>
            <w:vAlign w:val="center"/>
            <w:hideMark/>
          </w:tcPr>
          <w:p w14:paraId="71CB93C1" w14:textId="77777777" w:rsidR="00353410" w:rsidRPr="00353410" w:rsidRDefault="00353410" w:rsidP="00353410">
            <w:pPr>
              <w:jc w:val="center"/>
              <w:rPr>
                <w:rFonts w:ascii="Calibri" w:hAnsi="Calibri" w:cs="Calibri"/>
                <w:b/>
                <w:bCs/>
                <w:color w:val="000000"/>
                <w:spacing w:val="0"/>
                <w:sz w:val="22"/>
                <w:szCs w:val="22"/>
                <w:lang w:eastAsia="en-GB"/>
              </w:rPr>
            </w:pPr>
            <w:r w:rsidRPr="00353410">
              <w:rPr>
                <w:rFonts w:ascii="Calibri" w:hAnsi="Calibri" w:cs="Calibri"/>
                <w:b/>
                <w:bCs/>
                <w:color w:val="000000"/>
                <w:spacing w:val="0"/>
                <w:sz w:val="22"/>
                <w:szCs w:val="22"/>
                <w:lang w:eastAsia="en-GB"/>
              </w:rPr>
              <w:t>Projected rounded</w:t>
            </w:r>
          </w:p>
        </w:tc>
        <w:tc>
          <w:tcPr>
            <w:tcW w:w="1432" w:type="dxa"/>
            <w:tcBorders>
              <w:top w:val="single" w:sz="8" w:space="0" w:color="auto"/>
              <w:left w:val="nil"/>
              <w:bottom w:val="nil"/>
              <w:right w:val="nil"/>
            </w:tcBorders>
            <w:shd w:val="clear" w:color="000000" w:fill="F6FC14"/>
            <w:vAlign w:val="center"/>
            <w:hideMark/>
          </w:tcPr>
          <w:p w14:paraId="29F0362C" w14:textId="77777777" w:rsidR="00353410" w:rsidRPr="00353410" w:rsidRDefault="00353410" w:rsidP="00353410">
            <w:pPr>
              <w:jc w:val="center"/>
              <w:rPr>
                <w:rFonts w:ascii="Calibri" w:hAnsi="Calibri" w:cs="Calibri"/>
                <w:b/>
                <w:bCs/>
                <w:color w:val="000000"/>
                <w:spacing w:val="0"/>
                <w:sz w:val="22"/>
                <w:szCs w:val="22"/>
                <w:lang w:eastAsia="en-GB"/>
              </w:rPr>
            </w:pPr>
            <w:r w:rsidRPr="00353410">
              <w:rPr>
                <w:rFonts w:ascii="Calibri" w:hAnsi="Calibri" w:cs="Calibri"/>
                <w:b/>
                <w:bCs/>
                <w:color w:val="000000"/>
                <w:spacing w:val="0"/>
                <w:sz w:val="22"/>
                <w:szCs w:val="22"/>
                <w:lang w:eastAsia="en-GB"/>
              </w:rPr>
              <w:t>Original Estimate</w:t>
            </w:r>
          </w:p>
        </w:tc>
        <w:tc>
          <w:tcPr>
            <w:tcW w:w="1610" w:type="dxa"/>
            <w:tcBorders>
              <w:top w:val="single" w:sz="8" w:space="0" w:color="auto"/>
              <w:left w:val="nil"/>
              <w:bottom w:val="nil"/>
              <w:right w:val="single" w:sz="8" w:space="0" w:color="auto"/>
            </w:tcBorders>
            <w:shd w:val="clear" w:color="000000" w:fill="8EA9DB"/>
            <w:vAlign w:val="center"/>
            <w:hideMark/>
          </w:tcPr>
          <w:p w14:paraId="7F5AEE8D" w14:textId="77777777" w:rsidR="00353410" w:rsidRPr="00353410" w:rsidRDefault="00353410" w:rsidP="00353410">
            <w:pPr>
              <w:jc w:val="center"/>
              <w:rPr>
                <w:rFonts w:ascii="Calibri" w:hAnsi="Calibri" w:cs="Calibri"/>
                <w:b/>
                <w:bCs/>
                <w:color w:val="000000"/>
                <w:spacing w:val="0"/>
                <w:sz w:val="22"/>
                <w:szCs w:val="22"/>
                <w:lang w:eastAsia="en-GB"/>
              </w:rPr>
            </w:pPr>
            <w:r w:rsidRPr="00353410">
              <w:rPr>
                <w:rFonts w:ascii="Calibri" w:hAnsi="Calibri" w:cs="Calibri"/>
                <w:b/>
                <w:bCs/>
                <w:color w:val="000000"/>
                <w:spacing w:val="0"/>
                <w:sz w:val="22"/>
                <w:szCs w:val="22"/>
                <w:lang w:eastAsia="en-GB"/>
              </w:rPr>
              <w:t>Estimated</w:t>
            </w:r>
          </w:p>
        </w:tc>
      </w:tr>
      <w:tr w:rsidR="00353410" w:rsidRPr="00353410" w14:paraId="7C6732BE" w14:textId="77777777" w:rsidTr="00353410">
        <w:trPr>
          <w:trHeight w:val="290"/>
        </w:trPr>
        <w:tc>
          <w:tcPr>
            <w:tcW w:w="4568" w:type="dxa"/>
            <w:tcBorders>
              <w:top w:val="nil"/>
              <w:left w:val="single" w:sz="8" w:space="0" w:color="auto"/>
              <w:bottom w:val="nil"/>
              <w:right w:val="nil"/>
            </w:tcBorders>
            <w:noWrap/>
            <w:vAlign w:val="center"/>
            <w:hideMark/>
          </w:tcPr>
          <w:p w14:paraId="3A50193D" w14:textId="77777777" w:rsidR="00353410" w:rsidRPr="00353410" w:rsidRDefault="00353410" w:rsidP="00353410">
            <w:pPr>
              <w:jc w:val="lef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w:t>
            </w:r>
          </w:p>
        </w:tc>
        <w:tc>
          <w:tcPr>
            <w:tcW w:w="1156" w:type="dxa"/>
            <w:tcBorders>
              <w:top w:val="nil"/>
              <w:left w:val="nil"/>
              <w:bottom w:val="nil"/>
              <w:right w:val="nil"/>
            </w:tcBorders>
            <w:shd w:val="clear" w:color="000000" w:fill="D9D9D9"/>
            <w:noWrap/>
            <w:vAlign w:val="center"/>
            <w:hideMark/>
          </w:tcPr>
          <w:p w14:paraId="2DE50870" w14:textId="77777777" w:rsidR="00353410" w:rsidRPr="00353410" w:rsidRDefault="00353410" w:rsidP="00353410">
            <w:pPr>
              <w:jc w:val="center"/>
              <w:rPr>
                <w:rFonts w:ascii="Calibri" w:hAnsi="Calibri" w:cs="Calibri"/>
                <w:b/>
                <w:bCs/>
                <w:color w:val="000000"/>
                <w:spacing w:val="0"/>
                <w:sz w:val="22"/>
                <w:szCs w:val="22"/>
                <w:lang w:eastAsia="en-GB"/>
              </w:rPr>
            </w:pPr>
            <w:r w:rsidRPr="00353410">
              <w:rPr>
                <w:rFonts w:ascii="Calibri" w:hAnsi="Calibri" w:cs="Calibri"/>
                <w:b/>
                <w:bCs/>
                <w:color w:val="000000"/>
                <w:spacing w:val="0"/>
                <w:sz w:val="22"/>
                <w:szCs w:val="22"/>
                <w:lang w:eastAsia="en-GB"/>
              </w:rPr>
              <w:t>2024-2025</w:t>
            </w:r>
          </w:p>
        </w:tc>
        <w:tc>
          <w:tcPr>
            <w:tcW w:w="1314" w:type="dxa"/>
            <w:tcBorders>
              <w:top w:val="nil"/>
              <w:left w:val="nil"/>
              <w:bottom w:val="nil"/>
              <w:right w:val="nil"/>
            </w:tcBorders>
            <w:shd w:val="clear" w:color="000000" w:fill="D9D9D9"/>
            <w:noWrap/>
            <w:vAlign w:val="center"/>
            <w:hideMark/>
          </w:tcPr>
          <w:p w14:paraId="46816AE8" w14:textId="77777777" w:rsidR="00353410" w:rsidRPr="00353410" w:rsidRDefault="00353410" w:rsidP="00353410">
            <w:pPr>
              <w:jc w:val="center"/>
              <w:rPr>
                <w:rFonts w:ascii="Calibri" w:hAnsi="Calibri" w:cs="Calibri"/>
                <w:b/>
                <w:bCs/>
                <w:color w:val="000000"/>
                <w:spacing w:val="0"/>
                <w:sz w:val="22"/>
                <w:szCs w:val="22"/>
                <w:lang w:eastAsia="en-GB"/>
              </w:rPr>
            </w:pPr>
            <w:r w:rsidRPr="00353410">
              <w:rPr>
                <w:rFonts w:ascii="Calibri" w:hAnsi="Calibri" w:cs="Calibri"/>
                <w:b/>
                <w:bCs/>
                <w:color w:val="000000"/>
                <w:spacing w:val="0"/>
                <w:sz w:val="22"/>
                <w:szCs w:val="22"/>
                <w:lang w:eastAsia="en-GB"/>
              </w:rPr>
              <w:t>2025-2026</w:t>
            </w:r>
          </w:p>
        </w:tc>
        <w:tc>
          <w:tcPr>
            <w:tcW w:w="1432" w:type="dxa"/>
            <w:tcBorders>
              <w:top w:val="nil"/>
              <w:left w:val="nil"/>
              <w:bottom w:val="nil"/>
              <w:right w:val="nil"/>
            </w:tcBorders>
            <w:shd w:val="clear" w:color="000000" w:fill="F6FC14"/>
            <w:noWrap/>
            <w:vAlign w:val="center"/>
            <w:hideMark/>
          </w:tcPr>
          <w:p w14:paraId="6DEF254A" w14:textId="77777777" w:rsidR="00353410" w:rsidRPr="00353410" w:rsidRDefault="00353410" w:rsidP="00353410">
            <w:pPr>
              <w:jc w:val="center"/>
              <w:rPr>
                <w:rFonts w:ascii="Calibri" w:hAnsi="Calibri" w:cs="Calibri"/>
                <w:b/>
                <w:bCs/>
                <w:color w:val="000000"/>
                <w:spacing w:val="0"/>
                <w:sz w:val="22"/>
                <w:szCs w:val="22"/>
                <w:lang w:eastAsia="en-GB"/>
              </w:rPr>
            </w:pPr>
            <w:r w:rsidRPr="00353410">
              <w:rPr>
                <w:rFonts w:ascii="Calibri" w:hAnsi="Calibri" w:cs="Calibri"/>
                <w:b/>
                <w:bCs/>
                <w:color w:val="000000"/>
                <w:spacing w:val="0"/>
                <w:sz w:val="22"/>
                <w:szCs w:val="22"/>
                <w:lang w:eastAsia="en-GB"/>
              </w:rPr>
              <w:t>2025-2026</w:t>
            </w:r>
          </w:p>
        </w:tc>
        <w:tc>
          <w:tcPr>
            <w:tcW w:w="1610" w:type="dxa"/>
            <w:tcBorders>
              <w:top w:val="nil"/>
              <w:left w:val="nil"/>
              <w:bottom w:val="nil"/>
              <w:right w:val="single" w:sz="8" w:space="0" w:color="auto"/>
            </w:tcBorders>
            <w:shd w:val="clear" w:color="000000" w:fill="8EA9DB"/>
            <w:noWrap/>
            <w:vAlign w:val="center"/>
            <w:hideMark/>
          </w:tcPr>
          <w:p w14:paraId="0A766E04" w14:textId="77777777" w:rsidR="00353410" w:rsidRPr="00353410" w:rsidRDefault="00353410" w:rsidP="00353410">
            <w:pPr>
              <w:jc w:val="center"/>
              <w:rPr>
                <w:rFonts w:ascii="Calibri" w:hAnsi="Calibri" w:cs="Calibri"/>
                <w:b/>
                <w:bCs/>
                <w:color w:val="000000"/>
                <w:spacing w:val="0"/>
                <w:sz w:val="22"/>
                <w:szCs w:val="22"/>
                <w:lang w:eastAsia="en-GB"/>
              </w:rPr>
            </w:pPr>
            <w:r w:rsidRPr="00353410">
              <w:rPr>
                <w:rFonts w:ascii="Calibri" w:hAnsi="Calibri" w:cs="Calibri"/>
                <w:b/>
                <w:bCs/>
                <w:color w:val="000000"/>
                <w:spacing w:val="0"/>
                <w:sz w:val="22"/>
                <w:szCs w:val="22"/>
                <w:lang w:eastAsia="en-GB"/>
              </w:rPr>
              <w:t>2026-2027</w:t>
            </w:r>
          </w:p>
        </w:tc>
      </w:tr>
      <w:tr w:rsidR="00353410" w:rsidRPr="00353410" w14:paraId="59B25EBC" w14:textId="77777777" w:rsidTr="00353410">
        <w:trPr>
          <w:trHeight w:val="290"/>
        </w:trPr>
        <w:tc>
          <w:tcPr>
            <w:tcW w:w="4568" w:type="dxa"/>
            <w:tcBorders>
              <w:top w:val="nil"/>
              <w:left w:val="single" w:sz="8" w:space="0" w:color="auto"/>
              <w:bottom w:val="nil"/>
              <w:right w:val="nil"/>
            </w:tcBorders>
            <w:noWrap/>
            <w:vAlign w:val="center"/>
            <w:hideMark/>
          </w:tcPr>
          <w:p w14:paraId="1E129212" w14:textId="77777777" w:rsidR="00353410" w:rsidRPr="00353410" w:rsidRDefault="00353410" w:rsidP="00353410">
            <w:pPr>
              <w:jc w:val="left"/>
              <w:rPr>
                <w:rFonts w:ascii="Calibri" w:hAnsi="Calibri" w:cs="Calibri"/>
                <w:b/>
                <w:bCs/>
                <w:color w:val="000000"/>
                <w:spacing w:val="0"/>
                <w:sz w:val="22"/>
                <w:szCs w:val="22"/>
                <w:lang w:eastAsia="en-GB"/>
              </w:rPr>
            </w:pPr>
            <w:r w:rsidRPr="00353410">
              <w:rPr>
                <w:rFonts w:ascii="Calibri" w:hAnsi="Calibri" w:cs="Calibri"/>
                <w:b/>
                <w:bCs/>
                <w:color w:val="000000"/>
                <w:spacing w:val="0"/>
                <w:sz w:val="22"/>
                <w:szCs w:val="22"/>
                <w:lang w:eastAsia="en-GB"/>
              </w:rPr>
              <w:t>Balance  Brought Forward</w:t>
            </w:r>
          </w:p>
        </w:tc>
        <w:tc>
          <w:tcPr>
            <w:tcW w:w="1156" w:type="dxa"/>
            <w:tcBorders>
              <w:top w:val="nil"/>
              <w:left w:val="nil"/>
              <w:bottom w:val="nil"/>
              <w:right w:val="nil"/>
            </w:tcBorders>
            <w:noWrap/>
            <w:vAlign w:val="center"/>
            <w:hideMark/>
          </w:tcPr>
          <w:p w14:paraId="497A7782"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£1,955.10 </w:t>
            </w:r>
          </w:p>
        </w:tc>
        <w:tc>
          <w:tcPr>
            <w:tcW w:w="1314" w:type="dxa"/>
            <w:tcBorders>
              <w:top w:val="nil"/>
              <w:left w:val="nil"/>
              <w:bottom w:val="nil"/>
              <w:right w:val="nil"/>
            </w:tcBorders>
            <w:noWrap/>
            <w:vAlign w:val="center"/>
            <w:hideMark/>
          </w:tcPr>
          <w:p w14:paraId="7A478E30" w14:textId="77777777" w:rsidR="00353410" w:rsidRPr="00353410" w:rsidRDefault="00353410" w:rsidP="00353410">
            <w:pPr>
              <w:jc w:val="right"/>
              <w:rPr>
                <w:rFonts w:ascii="Calibri" w:hAnsi="Calibri" w:cs="Calibri"/>
                <w:b/>
                <w:bCs/>
                <w:color w:val="000000"/>
                <w:spacing w:val="0"/>
                <w:sz w:val="22"/>
                <w:szCs w:val="22"/>
                <w:lang w:eastAsia="en-GB"/>
              </w:rPr>
            </w:pPr>
            <w:r w:rsidRPr="00353410">
              <w:rPr>
                <w:rFonts w:ascii="Calibri" w:hAnsi="Calibri" w:cs="Calibri"/>
                <w:b/>
                <w:bCs/>
                <w:color w:val="000000"/>
                <w:spacing w:val="0"/>
                <w:sz w:val="22"/>
                <w:szCs w:val="22"/>
                <w:lang w:eastAsia="en-GB"/>
              </w:rPr>
              <w:t xml:space="preserve">£1,166.00 </w:t>
            </w:r>
          </w:p>
        </w:tc>
        <w:tc>
          <w:tcPr>
            <w:tcW w:w="1432" w:type="dxa"/>
            <w:tcBorders>
              <w:top w:val="nil"/>
              <w:left w:val="nil"/>
              <w:bottom w:val="nil"/>
              <w:right w:val="nil"/>
            </w:tcBorders>
            <w:noWrap/>
            <w:vAlign w:val="center"/>
            <w:hideMark/>
          </w:tcPr>
          <w:p w14:paraId="2626D115"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£1,166.12 </w:t>
            </w:r>
          </w:p>
        </w:tc>
        <w:tc>
          <w:tcPr>
            <w:tcW w:w="1610" w:type="dxa"/>
            <w:tcBorders>
              <w:top w:val="nil"/>
              <w:left w:val="nil"/>
              <w:bottom w:val="nil"/>
              <w:right w:val="single" w:sz="8" w:space="0" w:color="auto"/>
            </w:tcBorders>
            <w:noWrap/>
            <w:vAlign w:val="center"/>
            <w:hideMark/>
          </w:tcPr>
          <w:p w14:paraId="3A2FE008"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£2,451.97 </w:t>
            </w:r>
          </w:p>
        </w:tc>
      </w:tr>
      <w:tr w:rsidR="00353410" w:rsidRPr="00353410" w14:paraId="31AD7A04" w14:textId="77777777" w:rsidTr="00353410">
        <w:trPr>
          <w:trHeight w:val="290"/>
        </w:trPr>
        <w:tc>
          <w:tcPr>
            <w:tcW w:w="4568" w:type="dxa"/>
            <w:tcBorders>
              <w:top w:val="nil"/>
              <w:left w:val="single" w:sz="8" w:space="0" w:color="auto"/>
              <w:bottom w:val="nil"/>
              <w:right w:val="nil"/>
            </w:tcBorders>
            <w:noWrap/>
            <w:vAlign w:val="center"/>
            <w:hideMark/>
          </w:tcPr>
          <w:p w14:paraId="2AE9253E" w14:textId="77777777" w:rsidR="00353410" w:rsidRPr="00353410" w:rsidRDefault="00353410" w:rsidP="00353410">
            <w:pPr>
              <w:jc w:val="left"/>
              <w:rPr>
                <w:rFonts w:ascii="Calibri" w:hAnsi="Calibri" w:cs="Calibri"/>
                <w:b/>
                <w:bCs/>
                <w:color w:val="000000"/>
                <w:spacing w:val="0"/>
                <w:sz w:val="22"/>
                <w:szCs w:val="22"/>
                <w:lang w:eastAsia="en-GB"/>
              </w:rPr>
            </w:pPr>
            <w:r w:rsidRPr="00353410">
              <w:rPr>
                <w:rFonts w:ascii="Calibri" w:hAnsi="Calibri" w:cs="Calibri"/>
                <w:b/>
                <w:bCs/>
                <w:color w:val="000000"/>
                <w:spacing w:val="0"/>
                <w:sz w:val="22"/>
                <w:szCs w:val="22"/>
                <w:lang w:eastAsia="en-GB"/>
              </w:rPr>
              <w:t>Precept</w:t>
            </w:r>
          </w:p>
        </w:tc>
        <w:tc>
          <w:tcPr>
            <w:tcW w:w="1156" w:type="dxa"/>
            <w:tcBorders>
              <w:top w:val="nil"/>
              <w:left w:val="nil"/>
              <w:bottom w:val="nil"/>
              <w:right w:val="nil"/>
            </w:tcBorders>
            <w:noWrap/>
            <w:vAlign w:val="center"/>
            <w:hideMark/>
          </w:tcPr>
          <w:p w14:paraId="4D469849"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£3,000.00 </w:t>
            </w:r>
          </w:p>
        </w:tc>
        <w:tc>
          <w:tcPr>
            <w:tcW w:w="1314" w:type="dxa"/>
            <w:tcBorders>
              <w:top w:val="nil"/>
              <w:left w:val="nil"/>
              <w:bottom w:val="nil"/>
              <w:right w:val="nil"/>
            </w:tcBorders>
            <w:noWrap/>
            <w:vAlign w:val="center"/>
            <w:hideMark/>
          </w:tcPr>
          <w:p w14:paraId="284CFD6A" w14:textId="77777777" w:rsidR="00353410" w:rsidRPr="00353410" w:rsidRDefault="00353410" w:rsidP="00353410">
            <w:pPr>
              <w:jc w:val="right"/>
              <w:rPr>
                <w:rFonts w:ascii="Calibri" w:hAnsi="Calibri" w:cs="Calibri"/>
                <w:b/>
                <w:bCs/>
                <w:color w:val="000000"/>
                <w:spacing w:val="0"/>
                <w:sz w:val="22"/>
                <w:szCs w:val="22"/>
                <w:lang w:eastAsia="en-GB"/>
              </w:rPr>
            </w:pPr>
            <w:r w:rsidRPr="00353410">
              <w:rPr>
                <w:rFonts w:ascii="Calibri" w:hAnsi="Calibri" w:cs="Calibri"/>
                <w:b/>
                <w:bCs/>
                <w:color w:val="000000"/>
                <w:spacing w:val="0"/>
                <w:sz w:val="22"/>
                <w:szCs w:val="22"/>
                <w:lang w:eastAsia="en-GB"/>
              </w:rPr>
              <w:t xml:space="preserve">£3,300.00 </w:t>
            </w:r>
          </w:p>
        </w:tc>
        <w:tc>
          <w:tcPr>
            <w:tcW w:w="1432" w:type="dxa"/>
            <w:tcBorders>
              <w:top w:val="nil"/>
              <w:left w:val="nil"/>
              <w:bottom w:val="nil"/>
              <w:right w:val="nil"/>
            </w:tcBorders>
            <w:shd w:val="clear" w:color="000000" w:fill="FFFFFF"/>
            <w:noWrap/>
            <w:vAlign w:val="center"/>
            <w:hideMark/>
          </w:tcPr>
          <w:p w14:paraId="2CA29DA1"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£3,300.00 </w:t>
            </w:r>
          </w:p>
        </w:tc>
        <w:tc>
          <w:tcPr>
            <w:tcW w:w="1610" w:type="dxa"/>
            <w:tcBorders>
              <w:top w:val="nil"/>
              <w:left w:val="nil"/>
              <w:bottom w:val="nil"/>
              <w:right w:val="single" w:sz="8" w:space="0" w:color="auto"/>
            </w:tcBorders>
            <w:shd w:val="clear" w:color="000000" w:fill="FFFFFF"/>
            <w:noWrap/>
            <w:vAlign w:val="center"/>
            <w:hideMark/>
          </w:tcPr>
          <w:p w14:paraId="75860652"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£3,630.00 </w:t>
            </w:r>
          </w:p>
        </w:tc>
      </w:tr>
      <w:tr w:rsidR="00353410" w:rsidRPr="00353410" w14:paraId="4234EA09" w14:textId="77777777" w:rsidTr="00353410">
        <w:trPr>
          <w:trHeight w:val="290"/>
        </w:trPr>
        <w:tc>
          <w:tcPr>
            <w:tcW w:w="4568" w:type="dxa"/>
            <w:tcBorders>
              <w:top w:val="nil"/>
              <w:left w:val="single" w:sz="8" w:space="0" w:color="auto"/>
              <w:bottom w:val="nil"/>
              <w:right w:val="nil"/>
            </w:tcBorders>
            <w:noWrap/>
            <w:vAlign w:val="center"/>
            <w:hideMark/>
          </w:tcPr>
          <w:p w14:paraId="672EB99A" w14:textId="77777777" w:rsidR="00353410" w:rsidRPr="00353410" w:rsidRDefault="00353410" w:rsidP="00353410">
            <w:pPr>
              <w:jc w:val="left"/>
              <w:rPr>
                <w:rFonts w:ascii="Calibri" w:hAnsi="Calibri" w:cs="Calibri"/>
                <w:b/>
                <w:bCs/>
                <w:color w:val="000000"/>
                <w:spacing w:val="0"/>
                <w:sz w:val="22"/>
                <w:szCs w:val="22"/>
                <w:lang w:eastAsia="en-GB"/>
              </w:rPr>
            </w:pPr>
            <w:r w:rsidRPr="00353410">
              <w:rPr>
                <w:rFonts w:ascii="Calibri" w:hAnsi="Calibri" w:cs="Calibri"/>
                <w:b/>
                <w:bCs/>
                <w:color w:val="000000"/>
                <w:spacing w:val="0"/>
                <w:sz w:val="22"/>
                <w:szCs w:val="22"/>
                <w:lang w:eastAsia="en-GB"/>
              </w:rPr>
              <w:t>Total Other Receipts</w:t>
            </w:r>
          </w:p>
        </w:tc>
        <w:tc>
          <w:tcPr>
            <w:tcW w:w="1156" w:type="dxa"/>
            <w:tcBorders>
              <w:top w:val="nil"/>
              <w:left w:val="nil"/>
              <w:bottom w:val="nil"/>
              <w:right w:val="nil"/>
            </w:tcBorders>
            <w:noWrap/>
            <w:vAlign w:val="center"/>
            <w:hideMark/>
          </w:tcPr>
          <w:p w14:paraId="06933419"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£705.00 </w:t>
            </w:r>
          </w:p>
        </w:tc>
        <w:tc>
          <w:tcPr>
            <w:tcW w:w="1314" w:type="dxa"/>
            <w:tcBorders>
              <w:top w:val="nil"/>
              <w:left w:val="nil"/>
              <w:bottom w:val="nil"/>
              <w:right w:val="nil"/>
            </w:tcBorders>
            <w:noWrap/>
            <w:vAlign w:val="center"/>
            <w:hideMark/>
          </w:tcPr>
          <w:p w14:paraId="58424CD1" w14:textId="77777777" w:rsidR="00353410" w:rsidRPr="00353410" w:rsidRDefault="00353410" w:rsidP="00353410">
            <w:pPr>
              <w:jc w:val="right"/>
              <w:rPr>
                <w:rFonts w:ascii="Calibri" w:hAnsi="Calibri" w:cs="Calibri"/>
                <w:b/>
                <w:bCs/>
                <w:color w:val="000000"/>
                <w:spacing w:val="0"/>
                <w:sz w:val="22"/>
                <w:szCs w:val="22"/>
                <w:lang w:eastAsia="en-GB"/>
              </w:rPr>
            </w:pPr>
            <w:r w:rsidRPr="00353410">
              <w:rPr>
                <w:rFonts w:ascii="Calibri" w:hAnsi="Calibri" w:cs="Calibri"/>
                <w:b/>
                <w:bCs/>
                <w:color w:val="000000"/>
                <w:spacing w:val="0"/>
                <w:sz w:val="22"/>
                <w:szCs w:val="22"/>
                <w:lang w:eastAsia="en-GB"/>
              </w:rPr>
              <w:t xml:space="preserve">£1,870.00 </w:t>
            </w:r>
          </w:p>
        </w:tc>
        <w:tc>
          <w:tcPr>
            <w:tcW w:w="1432" w:type="dxa"/>
            <w:tcBorders>
              <w:top w:val="nil"/>
              <w:left w:val="nil"/>
              <w:bottom w:val="nil"/>
              <w:right w:val="nil"/>
            </w:tcBorders>
            <w:shd w:val="clear" w:color="000000" w:fill="FFFFFF"/>
            <w:noWrap/>
            <w:vAlign w:val="center"/>
            <w:hideMark/>
          </w:tcPr>
          <w:p w14:paraId="0289CE70"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£1,240.00 </w:t>
            </w:r>
          </w:p>
        </w:tc>
        <w:tc>
          <w:tcPr>
            <w:tcW w:w="1610" w:type="dxa"/>
            <w:tcBorders>
              <w:top w:val="nil"/>
              <w:left w:val="nil"/>
              <w:bottom w:val="nil"/>
              <w:right w:val="single" w:sz="8" w:space="0" w:color="auto"/>
            </w:tcBorders>
            <w:shd w:val="clear" w:color="000000" w:fill="FFFFFF"/>
            <w:noWrap/>
            <w:vAlign w:val="center"/>
            <w:hideMark/>
          </w:tcPr>
          <w:p w14:paraId="7BC1505D"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£1,402.50 </w:t>
            </w:r>
          </w:p>
        </w:tc>
      </w:tr>
      <w:tr w:rsidR="00353410" w:rsidRPr="00353410" w14:paraId="48282650" w14:textId="77777777" w:rsidTr="00353410">
        <w:trPr>
          <w:trHeight w:val="290"/>
        </w:trPr>
        <w:tc>
          <w:tcPr>
            <w:tcW w:w="4568" w:type="dxa"/>
            <w:tcBorders>
              <w:top w:val="nil"/>
              <w:left w:val="single" w:sz="8" w:space="0" w:color="auto"/>
              <w:bottom w:val="nil"/>
              <w:right w:val="nil"/>
            </w:tcBorders>
            <w:noWrap/>
            <w:vAlign w:val="center"/>
            <w:hideMark/>
          </w:tcPr>
          <w:p w14:paraId="03033B8E" w14:textId="77777777" w:rsidR="00353410" w:rsidRPr="00353410" w:rsidRDefault="00353410" w:rsidP="00353410">
            <w:pPr>
              <w:jc w:val="left"/>
              <w:rPr>
                <w:rFonts w:ascii="Calibri" w:hAnsi="Calibri" w:cs="Calibri"/>
                <w:b/>
                <w:bCs/>
                <w:color w:val="000000"/>
                <w:spacing w:val="0"/>
                <w:sz w:val="22"/>
                <w:szCs w:val="22"/>
                <w:lang w:eastAsia="en-GB"/>
              </w:rPr>
            </w:pPr>
            <w:r w:rsidRPr="00353410">
              <w:rPr>
                <w:rFonts w:ascii="Calibri" w:hAnsi="Calibri" w:cs="Calibri"/>
                <w:b/>
                <w:bCs/>
                <w:color w:val="000000"/>
                <w:spacing w:val="0"/>
                <w:sz w:val="22"/>
                <w:szCs w:val="22"/>
                <w:lang w:eastAsia="en-GB"/>
              </w:rPr>
              <w:t>Staff Costs</w:t>
            </w:r>
          </w:p>
        </w:tc>
        <w:tc>
          <w:tcPr>
            <w:tcW w:w="1156" w:type="dxa"/>
            <w:tcBorders>
              <w:top w:val="nil"/>
              <w:left w:val="nil"/>
              <w:bottom w:val="nil"/>
              <w:right w:val="nil"/>
            </w:tcBorders>
            <w:noWrap/>
            <w:vAlign w:val="center"/>
            <w:hideMark/>
          </w:tcPr>
          <w:p w14:paraId="2E1079B9"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£1,391.00 </w:t>
            </w:r>
          </w:p>
        </w:tc>
        <w:tc>
          <w:tcPr>
            <w:tcW w:w="1314" w:type="dxa"/>
            <w:tcBorders>
              <w:top w:val="nil"/>
              <w:left w:val="nil"/>
              <w:bottom w:val="nil"/>
              <w:right w:val="nil"/>
            </w:tcBorders>
            <w:noWrap/>
            <w:vAlign w:val="center"/>
            <w:hideMark/>
          </w:tcPr>
          <w:p w14:paraId="491A7E75" w14:textId="77777777" w:rsidR="00353410" w:rsidRPr="00353410" w:rsidRDefault="00353410" w:rsidP="00353410">
            <w:pPr>
              <w:jc w:val="right"/>
              <w:rPr>
                <w:rFonts w:ascii="Calibri" w:hAnsi="Calibri" w:cs="Calibri"/>
                <w:b/>
                <w:bCs/>
                <w:color w:val="000000"/>
                <w:spacing w:val="0"/>
                <w:sz w:val="22"/>
                <w:szCs w:val="22"/>
                <w:lang w:eastAsia="en-GB"/>
              </w:rPr>
            </w:pPr>
            <w:r w:rsidRPr="00353410">
              <w:rPr>
                <w:rFonts w:ascii="Calibri" w:hAnsi="Calibri" w:cs="Calibri"/>
                <w:b/>
                <w:bCs/>
                <w:color w:val="000000"/>
                <w:spacing w:val="0"/>
                <w:sz w:val="22"/>
                <w:szCs w:val="22"/>
                <w:lang w:eastAsia="en-GB"/>
              </w:rPr>
              <w:t xml:space="preserve">£761.00 </w:t>
            </w:r>
          </w:p>
        </w:tc>
        <w:tc>
          <w:tcPr>
            <w:tcW w:w="1432" w:type="dxa"/>
            <w:tcBorders>
              <w:top w:val="nil"/>
              <w:left w:val="nil"/>
              <w:bottom w:val="nil"/>
              <w:right w:val="nil"/>
            </w:tcBorders>
            <w:noWrap/>
            <w:vAlign w:val="center"/>
            <w:hideMark/>
          </w:tcPr>
          <w:p w14:paraId="18722D97"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£1,530.10 </w:t>
            </w:r>
          </w:p>
        </w:tc>
        <w:tc>
          <w:tcPr>
            <w:tcW w:w="1610" w:type="dxa"/>
            <w:tcBorders>
              <w:top w:val="nil"/>
              <w:left w:val="nil"/>
              <w:bottom w:val="nil"/>
              <w:right w:val="single" w:sz="8" w:space="0" w:color="auto"/>
            </w:tcBorders>
            <w:shd w:val="clear" w:color="000000" w:fill="FFFFFF"/>
            <w:noWrap/>
            <w:vAlign w:val="center"/>
            <w:hideMark/>
          </w:tcPr>
          <w:p w14:paraId="6F4BC096"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£821.88 </w:t>
            </w:r>
          </w:p>
        </w:tc>
      </w:tr>
      <w:tr w:rsidR="00353410" w:rsidRPr="00353410" w14:paraId="40457C86" w14:textId="77777777" w:rsidTr="00353410">
        <w:trPr>
          <w:trHeight w:val="290"/>
        </w:trPr>
        <w:tc>
          <w:tcPr>
            <w:tcW w:w="4568" w:type="dxa"/>
            <w:tcBorders>
              <w:top w:val="nil"/>
              <w:left w:val="single" w:sz="8" w:space="0" w:color="auto"/>
              <w:bottom w:val="nil"/>
              <w:right w:val="nil"/>
            </w:tcBorders>
            <w:noWrap/>
            <w:vAlign w:val="center"/>
            <w:hideMark/>
          </w:tcPr>
          <w:p w14:paraId="4752B396" w14:textId="77777777" w:rsidR="00353410" w:rsidRPr="00353410" w:rsidRDefault="00353410" w:rsidP="00353410">
            <w:pPr>
              <w:jc w:val="left"/>
              <w:rPr>
                <w:rFonts w:ascii="Calibri" w:hAnsi="Calibri" w:cs="Calibri"/>
                <w:b/>
                <w:bCs/>
                <w:color w:val="000000"/>
                <w:spacing w:val="0"/>
                <w:sz w:val="22"/>
                <w:szCs w:val="22"/>
                <w:lang w:eastAsia="en-GB"/>
              </w:rPr>
            </w:pPr>
            <w:r w:rsidRPr="00353410">
              <w:rPr>
                <w:rFonts w:ascii="Calibri" w:hAnsi="Calibri" w:cs="Calibri"/>
                <w:b/>
                <w:bCs/>
                <w:color w:val="000000"/>
                <w:spacing w:val="0"/>
                <w:sz w:val="22"/>
                <w:szCs w:val="22"/>
                <w:lang w:eastAsia="en-GB"/>
              </w:rPr>
              <w:t>Interest/</w:t>
            </w:r>
            <w:r w:rsidRPr="00353410">
              <w:rPr>
                <w:rFonts w:ascii="Calibri" w:hAnsi="Calibri" w:cs="Calibri"/>
                <w:b/>
                <w:bCs/>
                <w:color w:val="F4B084"/>
                <w:spacing w:val="0"/>
                <w:sz w:val="22"/>
                <w:szCs w:val="22"/>
                <w:lang w:eastAsia="en-GB"/>
              </w:rPr>
              <w:t>rounding</w:t>
            </w:r>
          </w:p>
        </w:tc>
        <w:tc>
          <w:tcPr>
            <w:tcW w:w="1156" w:type="dxa"/>
            <w:tcBorders>
              <w:top w:val="nil"/>
              <w:left w:val="nil"/>
              <w:bottom w:val="nil"/>
              <w:right w:val="nil"/>
            </w:tcBorders>
            <w:noWrap/>
            <w:vAlign w:val="center"/>
            <w:hideMark/>
          </w:tcPr>
          <w:p w14:paraId="4AC06A3E"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£0.00 </w:t>
            </w:r>
          </w:p>
        </w:tc>
        <w:tc>
          <w:tcPr>
            <w:tcW w:w="1314" w:type="dxa"/>
            <w:tcBorders>
              <w:top w:val="nil"/>
              <w:left w:val="nil"/>
              <w:bottom w:val="nil"/>
              <w:right w:val="nil"/>
            </w:tcBorders>
            <w:noWrap/>
            <w:vAlign w:val="center"/>
            <w:hideMark/>
          </w:tcPr>
          <w:p w14:paraId="52B8A3D0" w14:textId="77777777" w:rsidR="00353410" w:rsidRPr="00353410" w:rsidRDefault="00353410" w:rsidP="00353410">
            <w:pPr>
              <w:jc w:val="right"/>
              <w:rPr>
                <w:rFonts w:ascii="Calibri" w:hAnsi="Calibri" w:cs="Calibri"/>
                <w:b/>
                <w:bCs/>
                <w:color w:val="000000"/>
                <w:spacing w:val="0"/>
                <w:sz w:val="22"/>
                <w:szCs w:val="22"/>
                <w:lang w:eastAsia="en-GB"/>
              </w:rPr>
            </w:pPr>
            <w:r w:rsidRPr="00353410">
              <w:rPr>
                <w:rFonts w:ascii="Calibri" w:hAnsi="Calibri" w:cs="Calibri"/>
                <w:b/>
                <w:bCs/>
                <w:color w:val="000000"/>
                <w:spacing w:val="0"/>
                <w:sz w:val="22"/>
                <w:szCs w:val="22"/>
                <w:lang w:eastAsia="en-GB"/>
              </w:rPr>
              <w:t xml:space="preserve">£1.00 </w:t>
            </w:r>
          </w:p>
        </w:tc>
        <w:tc>
          <w:tcPr>
            <w:tcW w:w="1432" w:type="dxa"/>
            <w:tcBorders>
              <w:top w:val="nil"/>
              <w:left w:val="nil"/>
              <w:bottom w:val="nil"/>
              <w:right w:val="nil"/>
            </w:tcBorders>
            <w:noWrap/>
            <w:vAlign w:val="center"/>
            <w:hideMark/>
          </w:tcPr>
          <w:p w14:paraId="107153DB"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£0.00 </w:t>
            </w:r>
          </w:p>
        </w:tc>
        <w:tc>
          <w:tcPr>
            <w:tcW w:w="1610" w:type="dxa"/>
            <w:tcBorders>
              <w:top w:val="nil"/>
              <w:left w:val="nil"/>
              <w:bottom w:val="nil"/>
              <w:right w:val="single" w:sz="8" w:space="0" w:color="auto"/>
            </w:tcBorders>
            <w:shd w:val="clear" w:color="000000" w:fill="FFFFFF"/>
            <w:noWrap/>
            <w:vAlign w:val="center"/>
            <w:hideMark/>
          </w:tcPr>
          <w:p w14:paraId="66AAC49C"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£1.00 </w:t>
            </w:r>
          </w:p>
        </w:tc>
      </w:tr>
      <w:tr w:rsidR="00353410" w:rsidRPr="00353410" w14:paraId="12A25FAB" w14:textId="77777777" w:rsidTr="00353410">
        <w:trPr>
          <w:trHeight w:val="290"/>
        </w:trPr>
        <w:tc>
          <w:tcPr>
            <w:tcW w:w="4568" w:type="dxa"/>
            <w:tcBorders>
              <w:top w:val="nil"/>
              <w:left w:val="single" w:sz="8" w:space="0" w:color="auto"/>
              <w:bottom w:val="nil"/>
              <w:right w:val="nil"/>
            </w:tcBorders>
            <w:noWrap/>
            <w:vAlign w:val="center"/>
            <w:hideMark/>
          </w:tcPr>
          <w:p w14:paraId="44C6F114" w14:textId="77777777" w:rsidR="00353410" w:rsidRPr="00353410" w:rsidRDefault="00353410" w:rsidP="00353410">
            <w:pPr>
              <w:jc w:val="left"/>
              <w:rPr>
                <w:rFonts w:ascii="Calibri" w:hAnsi="Calibri" w:cs="Calibri"/>
                <w:b/>
                <w:bCs/>
                <w:color w:val="000000"/>
                <w:spacing w:val="0"/>
                <w:sz w:val="22"/>
                <w:szCs w:val="22"/>
                <w:lang w:eastAsia="en-GB"/>
              </w:rPr>
            </w:pPr>
            <w:r w:rsidRPr="00353410">
              <w:rPr>
                <w:rFonts w:ascii="Calibri" w:hAnsi="Calibri" w:cs="Calibri"/>
                <w:b/>
                <w:bCs/>
                <w:color w:val="000000"/>
                <w:spacing w:val="0"/>
                <w:sz w:val="22"/>
                <w:szCs w:val="22"/>
                <w:lang w:eastAsia="en-GB"/>
              </w:rPr>
              <w:t>All Other Payments</w:t>
            </w:r>
          </w:p>
        </w:tc>
        <w:tc>
          <w:tcPr>
            <w:tcW w:w="1156" w:type="dxa"/>
            <w:tcBorders>
              <w:top w:val="nil"/>
              <w:left w:val="nil"/>
              <w:bottom w:val="nil"/>
              <w:right w:val="nil"/>
            </w:tcBorders>
            <w:noWrap/>
            <w:vAlign w:val="center"/>
            <w:hideMark/>
          </w:tcPr>
          <w:p w14:paraId="1F1B6249"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£3,102.98 </w:t>
            </w:r>
          </w:p>
        </w:tc>
        <w:tc>
          <w:tcPr>
            <w:tcW w:w="1314" w:type="dxa"/>
            <w:tcBorders>
              <w:top w:val="nil"/>
              <w:left w:val="nil"/>
              <w:bottom w:val="nil"/>
              <w:right w:val="nil"/>
            </w:tcBorders>
            <w:noWrap/>
            <w:vAlign w:val="center"/>
            <w:hideMark/>
          </w:tcPr>
          <w:p w14:paraId="78965213" w14:textId="77777777" w:rsidR="00353410" w:rsidRPr="00353410" w:rsidRDefault="00353410" w:rsidP="00353410">
            <w:pPr>
              <w:jc w:val="right"/>
              <w:rPr>
                <w:rFonts w:ascii="Calibri" w:hAnsi="Calibri" w:cs="Calibri"/>
                <w:b/>
                <w:bCs/>
                <w:color w:val="000000"/>
                <w:spacing w:val="0"/>
                <w:sz w:val="22"/>
                <w:szCs w:val="22"/>
                <w:lang w:eastAsia="en-GB"/>
              </w:rPr>
            </w:pPr>
            <w:r w:rsidRPr="00353410">
              <w:rPr>
                <w:rFonts w:ascii="Calibri" w:hAnsi="Calibri" w:cs="Calibri"/>
                <w:b/>
                <w:bCs/>
                <w:color w:val="000000"/>
                <w:spacing w:val="0"/>
                <w:sz w:val="22"/>
                <w:szCs w:val="22"/>
                <w:lang w:eastAsia="en-GB"/>
              </w:rPr>
              <w:t xml:space="preserve">£2,792.00 </w:t>
            </w:r>
          </w:p>
        </w:tc>
        <w:tc>
          <w:tcPr>
            <w:tcW w:w="1432" w:type="dxa"/>
            <w:tcBorders>
              <w:top w:val="nil"/>
              <w:left w:val="nil"/>
              <w:bottom w:val="nil"/>
              <w:right w:val="nil"/>
            </w:tcBorders>
            <w:shd w:val="clear" w:color="000000" w:fill="FFFFFF"/>
            <w:noWrap/>
            <w:vAlign w:val="center"/>
            <w:hideMark/>
          </w:tcPr>
          <w:p w14:paraId="39D78EA6"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£1,724.05 </w:t>
            </w:r>
          </w:p>
        </w:tc>
        <w:tc>
          <w:tcPr>
            <w:tcW w:w="1610" w:type="dxa"/>
            <w:tcBorders>
              <w:top w:val="nil"/>
              <w:left w:val="nil"/>
              <w:bottom w:val="nil"/>
              <w:right w:val="single" w:sz="8" w:space="0" w:color="auto"/>
            </w:tcBorders>
            <w:shd w:val="clear" w:color="000000" w:fill="FFFFFF"/>
            <w:noWrap/>
            <w:vAlign w:val="center"/>
            <w:hideMark/>
          </w:tcPr>
          <w:p w14:paraId="1D8857F0"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£3,071.20 </w:t>
            </w:r>
          </w:p>
        </w:tc>
      </w:tr>
      <w:tr w:rsidR="00353410" w:rsidRPr="00353410" w14:paraId="54B86B71" w14:textId="77777777" w:rsidTr="00353410">
        <w:trPr>
          <w:trHeight w:val="290"/>
        </w:trPr>
        <w:tc>
          <w:tcPr>
            <w:tcW w:w="4568" w:type="dxa"/>
            <w:tcBorders>
              <w:top w:val="nil"/>
              <w:left w:val="single" w:sz="8" w:space="0" w:color="auto"/>
              <w:bottom w:val="nil"/>
              <w:right w:val="nil"/>
            </w:tcBorders>
            <w:noWrap/>
            <w:vAlign w:val="center"/>
            <w:hideMark/>
          </w:tcPr>
          <w:p w14:paraId="7A3CCF8D" w14:textId="77777777" w:rsidR="00353410" w:rsidRPr="00353410" w:rsidRDefault="00353410" w:rsidP="00353410">
            <w:pPr>
              <w:jc w:val="left"/>
              <w:rPr>
                <w:rFonts w:ascii="Calibri" w:hAnsi="Calibri" w:cs="Calibri"/>
                <w:b/>
                <w:bCs/>
                <w:color w:val="000000"/>
                <w:spacing w:val="0"/>
                <w:sz w:val="22"/>
                <w:szCs w:val="22"/>
                <w:lang w:eastAsia="en-GB"/>
              </w:rPr>
            </w:pPr>
            <w:r w:rsidRPr="00353410">
              <w:rPr>
                <w:rFonts w:ascii="Calibri" w:hAnsi="Calibri" w:cs="Calibri"/>
                <w:b/>
                <w:bCs/>
                <w:color w:val="000000"/>
                <w:spacing w:val="0"/>
                <w:sz w:val="22"/>
                <w:szCs w:val="22"/>
                <w:lang w:eastAsia="en-GB"/>
              </w:rPr>
              <w:t>Balance Carried Forward</w:t>
            </w:r>
          </w:p>
        </w:tc>
        <w:tc>
          <w:tcPr>
            <w:tcW w:w="1156" w:type="dxa"/>
            <w:tcBorders>
              <w:top w:val="nil"/>
              <w:left w:val="nil"/>
              <w:bottom w:val="nil"/>
              <w:right w:val="nil"/>
            </w:tcBorders>
            <w:noWrap/>
            <w:vAlign w:val="center"/>
            <w:hideMark/>
          </w:tcPr>
          <w:p w14:paraId="09F3496A"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£1,166.12 </w:t>
            </w:r>
          </w:p>
        </w:tc>
        <w:tc>
          <w:tcPr>
            <w:tcW w:w="1314" w:type="dxa"/>
            <w:tcBorders>
              <w:top w:val="nil"/>
              <w:left w:val="nil"/>
              <w:bottom w:val="nil"/>
              <w:right w:val="nil"/>
            </w:tcBorders>
            <w:noWrap/>
            <w:vAlign w:val="center"/>
            <w:hideMark/>
          </w:tcPr>
          <w:p w14:paraId="55541E48" w14:textId="77777777" w:rsidR="00353410" w:rsidRPr="00353410" w:rsidRDefault="00353410" w:rsidP="00353410">
            <w:pPr>
              <w:jc w:val="right"/>
              <w:rPr>
                <w:rFonts w:ascii="Calibri" w:hAnsi="Calibri" w:cs="Calibri"/>
                <w:b/>
                <w:bCs/>
                <w:color w:val="000000"/>
                <w:spacing w:val="0"/>
                <w:sz w:val="22"/>
                <w:szCs w:val="22"/>
                <w:lang w:eastAsia="en-GB"/>
              </w:rPr>
            </w:pPr>
            <w:r w:rsidRPr="00353410">
              <w:rPr>
                <w:rFonts w:ascii="Calibri" w:hAnsi="Calibri" w:cs="Calibri"/>
                <w:b/>
                <w:bCs/>
                <w:color w:val="000000"/>
                <w:spacing w:val="0"/>
                <w:sz w:val="22"/>
                <w:szCs w:val="22"/>
                <w:lang w:eastAsia="en-GB"/>
              </w:rPr>
              <w:t xml:space="preserve">£2,782.00 </w:t>
            </w:r>
          </w:p>
        </w:tc>
        <w:tc>
          <w:tcPr>
            <w:tcW w:w="1432" w:type="dxa"/>
            <w:tcBorders>
              <w:top w:val="nil"/>
              <w:left w:val="nil"/>
              <w:bottom w:val="nil"/>
              <w:right w:val="nil"/>
            </w:tcBorders>
            <w:noWrap/>
            <w:vAlign w:val="center"/>
            <w:hideMark/>
          </w:tcPr>
          <w:p w14:paraId="171A8188"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£2,451.97 </w:t>
            </w:r>
          </w:p>
        </w:tc>
        <w:tc>
          <w:tcPr>
            <w:tcW w:w="1610" w:type="dxa"/>
            <w:tcBorders>
              <w:top w:val="nil"/>
              <w:left w:val="nil"/>
              <w:bottom w:val="nil"/>
              <w:right w:val="single" w:sz="8" w:space="0" w:color="auto"/>
            </w:tcBorders>
            <w:noWrap/>
            <w:vAlign w:val="center"/>
            <w:hideMark/>
          </w:tcPr>
          <w:p w14:paraId="6EE7FBEB"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£3,590.39 </w:t>
            </w:r>
          </w:p>
        </w:tc>
      </w:tr>
      <w:tr w:rsidR="00353410" w:rsidRPr="00353410" w14:paraId="73D046A3" w14:textId="77777777" w:rsidTr="00353410">
        <w:trPr>
          <w:trHeight w:val="290"/>
        </w:trPr>
        <w:tc>
          <w:tcPr>
            <w:tcW w:w="4568" w:type="dxa"/>
            <w:tcBorders>
              <w:top w:val="nil"/>
              <w:left w:val="single" w:sz="8" w:space="0" w:color="auto"/>
              <w:bottom w:val="nil"/>
              <w:right w:val="nil"/>
            </w:tcBorders>
            <w:noWrap/>
            <w:vAlign w:val="center"/>
            <w:hideMark/>
          </w:tcPr>
          <w:p w14:paraId="41FEBEAB" w14:textId="77777777" w:rsidR="00353410" w:rsidRPr="00353410" w:rsidRDefault="00353410" w:rsidP="00353410">
            <w:pPr>
              <w:jc w:val="left"/>
              <w:rPr>
                <w:rFonts w:ascii="Calibri" w:hAnsi="Calibri" w:cs="Calibri"/>
                <w:b/>
                <w:bCs/>
                <w:color w:val="000000"/>
                <w:spacing w:val="0"/>
                <w:sz w:val="22"/>
                <w:szCs w:val="22"/>
                <w:lang w:eastAsia="en-GB"/>
              </w:rPr>
            </w:pPr>
            <w:r w:rsidRPr="00353410">
              <w:rPr>
                <w:rFonts w:ascii="Calibri" w:hAnsi="Calibri" w:cs="Calibri"/>
                <w:b/>
                <w:bCs/>
                <w:color w:val="000000"/>
                <w:spacing w:val="0"/>
                <w:sz w:val="22"/>
                <w:szCs w:val="22"/>
                <w:lang w:eastAsia="en-GB"/>
              </w:rPr>
              <w:t>Total Value of Cash and short term investments</w:t>
            </w:r>
          </w:p>
        </w:tc>
        <w:tc>
          <w:tcPr>
            <w:tcW w:w="1156" w:type="dxa"/>
            <w:tcBorders>
              <w:top w:val="nil"/>
              <w:left w:val="nil"/>
              <w:bottom w:val="nil"/>
              <w:right w:val="nil"/>
            </w:tcBorders>
            <w:noWrap/>
            <w:vAlign w:val="center"/>
            <w:hideMark/>
          </w:tcPr>
          <w:p w14:paraId="64E5802F"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£1,166.12 </w:t>
            </w:r>
          </w:p>
        </w:tc>
        <w:tc>
          <w:tcPr>
            <w:tcW w:w="1314" w:type="dxa"/>
            <w:tcBorders>
              <w:top w:val="nil"/>
              <w:left w:val="nil"/>
              <w:bottom w:val="nil"/>
              <w:right w:val="nil"/>
            </w:tcBorders>
            <w:noWrap/>
            <w:vAlign w:val="center"/>
            <w:hideMark/>
          </w:tcPr>
          <w:p w14:paraId="537371A6" w14:textId="77777777" w:rsidR="00353410" w:rsidRPr="00353410" w:rsidRDefault="00353410" w:rsidP="00353410">
            <w:pPr>
              <w:jc w:val="right"/>
              <w:rPr>
                <w:rFonts w:ascii="Calibri" w:hAnsi="Calibri" w:cs="Calibri"/>
                <w:b/>
                <w:bCs/>
                <w:color w:val="000000"/>
                <w:spacing w:val="0"/>
                <w:sz w:val="22"/>
                <w:szCs w:val="22"/>
                <w:lang w:eastAsia="en-GB"/>
              </w:rPr>
            </w:pPr>
            <w:r w:rsidRPr="00353410">
              <w:rPr>
                <w:rFonts w:ascii="Calibri" w:hAnsi="Calibri" w:cs="Calibri"/>
                <w:b/>
                <w:bCs/>
                <w:color w:val="000000"/>
                <w:spacing w:val="0"/>
                <w:sz w:val="22"/>
                <w:szCs w:val="22"/>
                <w:lang w:eastAsia="en-GB"/>
              </w:rPr>
              <w:t xml:space="preserve">£2,782.00 </w:t>
            </w:r>
          </w:p>
        </w:tc>
        <w:tc>
          <w:tcPr>
            <w:tcW w:w="1432" w:type="dxa"/>
            <w:tcBorders>
              <w:top w:val="nil"/>
              <w:left w:val="nil"/>
              <w:bottom w:val="nil"/>
              <w:right w:val="nil"/>
            </w:tcBorders>
            <w:noWrap/>
            <w:vAlign w:val="center"/>
            <w:hideMark/>
          </w:tcPr>
          <w:p w14:paraId="0EDBE0B3"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£2,451.97 </w:t>
            </w:r>
          </w:p>
        </w:tc>
        <w:tc>
          <w:tcPr>
            <w:tcW w:w="1610" w:type="dxa"/>
            <w:tcBorders>
              <w:top w:val="nil"/>
              <w:left w:val="nil"/>
              <w:bottom w:val="nil"/>
              <w:right w:val="single" w:sz="8" w:space="0" w:color="auto"/>
            </w:tcBorders>
            <w:noWrap/>
            <w:vAlign w:val="center"/>
            <w:hideMark/>
          </w:tcPr>
          <w:p w14:paraId="2447DC04"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£3,590.39 </w:t>
            </w:r>
          </w:p>
        </w:tc>
      </w:tr>
      <w:tr w:rsidR="00353410" w:rsidRPr="00353410" w14:paraId="67862B1F" w14:textId="77777777" w:rsidTr="00353410">
        <w:trPr>
          <w:trHeight w:val="300"/>
        </w:trPr>
        <w:tc>
          <w:tcPr>
            <w:tcW w:w="4568" w:type="dxa"/>
            <w:tcBorders>
              <w:top w:val="nil"/>
              <w:left w:val="single" w:sz="8" w:space="0" w:color="auto"/>
              <w:bottom w:val="single" w:sz="8" w:space="0" w:color="auto"/>
              <w:right w:val="nil"/>
            </w:tcBorders>
            <w:noWrap/>
            <w:vAlign w:val="center"/>
            <w:hideMark/>
          </w:tcPr>
          <w:p w14:paraId="1832DC78" w14:textId="77777777" w:rsidR="00353410" w:rsidRPr="00353410" w:rsidRDefault="00353410" w:rsidP="00353410">
            <w:pPr>
              <w:jc w:val="left"/>
              <w:rPr>
                <w:rFonts w:ascii="Calibri" w:hAnsi="Calibri" w:cs="Calibri"/>
                <w:b/>
                <w:bCs/>
                <w:color w:val="000000"/>
                <w:spacing w:val="0"/>
                <w:sz w:val="22"/>
                <w:szCs w:val="22"/>
                <w:lang w:eastAsia="en-GB"/>
              </w:rPr>
            </w:pPr>
            <w:r w:rsidRPr="00353410">
              <w:rPr>
                <w:rFonts w:ascii="Calibri" w:hAnsi="Calibri" w:cs="Calibri"/>
                <w:b/>
                <w:bCs/>
                <w:color w:val="000000"/>
                <w:spacing w:val="0"/>
                <w:sz w:val="22"/>
                <w:szCs w:val="22"/>
                <w:lang w:eastAsia="en-GB"/>
              </w:rPr>
              <w:t>Fixed assets</w:t>
            </w:r>
          </w:p>
        </w:tc>
        <w:tc>
          <w:tcPr>
            <w:tcW w:w="1156" w:type="dxa"/>
            <w:tcBorders>
              <w:top w:val="nil"/>
              <w:left w:val="nil"/>
              <w:bottom w:val="single" w:sz="8" w:space="0" w:color="auto"/>
              <w:right w:val="nil"/>
            </w:tcBorders>
            <w:noWrap/>
            <w:vAlign w:val="center"/>
            <w:hideMark/>
          </w:tcPr>
          <w:p w14:paraId="7240A7CE"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£3,779.26 </w:t>
            </w:r>
          </w:p>
        </w:tc>
        <w:tc>
          <w:tcPr>
            <w:tcW w:w="1314" w:type="dxa"/>
            <w:tcBorders>
              <w:top w:val="nil"/>
              <w:left w:val="nil"/>
              <w:bottom w:val="single" w:sz="8" w:space="0" w:color="auto"/>
              <w:right w:val="nil"/>
            </w:tcBorders>
            <w:noWrap/>
            <w:vAlign w:val="center"/>
            <w:hideMark/>
          </w:tcPr>
          <w:p w14:paraId="35727D3A" w14:textId="77777777" w:rsidR="00353410" w:rsidRPr="00353410" w:rsidRDefault="00353410" w:rsidP="00353410">
            <w:pPr>
              <w:jc w:val="right"/>
              <w:rPr>
                <w:rFonts w:ascii="Calibri" w:hAnsi="Calibri" w:cs="Calibri"/>
                <w:b/>
                <w:bCs/>
                <w:color w:val="000000"/>
                <w:spacing w:val="0"/>
                <w:sz w:val="22"/>
                <w:szCs w:val="22"/>
                <w:lang w:eastAsia="en-GB"/>
              </w:rPr>
            </w:pPr>
            <w:r w:rsidRPr="00353410">
              <w:rPr>
                <w:rFonts w:ascii="Calibri" w:hAnsi="Calibri" w:cs="Calibri"/>
                <w:b/>
                <w:bCs/>
                <w:color w:val="000000"/>
                <w:spacing w:val="0"/>
                <w:sz w:val="22"/>
                <w:szCs w:val="22"/>
                <w:lang w:eastAsia="en-GB"/>
              </w:rPr>
              <w:t xml:space="preserve">£3,779.00 </w:t>
            </w:r>
          </w:p>
        </w:tc>
        <w:tc>
          <w:tcPr>
            <w:tcW w:w="1432" w:type="dxa"/>
            <w:tcBorders>
              <w:top w:val="nil"/>
              <w:left w:val="nil"/>
              <w:bottom w:val="single" w:sz="8" w:space="0" w:color="auto"/>
              <w:right w:val="nil"/>
            </w:tcBorders>
            <w:noWrap/>
            <w:vAlign w:val="center"/>
            <w:hideMark/>
          </w:tcPr>
          <w:p w14:paraId="043AE96C"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£3,779.26 </w:t>
            </w:r>
          </w:p>
        </w:tc>
        <w:tc>
          <w:tcPr>
            <w:tcW w:w="1610" w:type="dxa"/>
            <w:tcBorders>
              <w:top w:val="nil"/>
              <w:left w:val="nil"/>
              <w:bottom w:val="single" w:sz="8" w:space="0" w:color="auto"/>
              <w:right w:val="single" w:sz="8" w:space="0" w:color="auto"/>
            </w:tcBorders>
            <w:noWrap/>
            <w:vAlign w:val="center"/>
            <w:hideMark/>
          </w:tcPr>
          <w:p w14:paraId="6319956C" w14:textId="77777777" w:rsidR="00353410" w:rsidRPr="00353410" w:rsidRDefault="00353410" w:rsidP="00353410">
            <w:pPr>
              <w:jc w:val="right"/>
              <w:rPr>
                <w:rFonts w:ascii="Calibri" w:hAnsi="Calibri" w:cs="Calibri"/>
                <w:color w:val="000000"/>
                <w:spacing w:val="0"/>
                <w:sz w:val="22"/>
                <w:szCs w:val="22"/>
                <w:lang w:eastAsia="en-GB"/>
              </w:rPr>
            </w:pPr>
            <w:r w:rsidRPr="00353410">
              <w:rPr>
                <w:rFonts w:ascii="Calibri" w:hAnsi="Calibri" w:cs="Calibri"/>
                <w:color w:val="000000"/>
                <w:spacing w:val="0"/>
                <w:sz w:val="22"/>
                <w:szCs w:val="22"/>
                <w:lang w:eastAsia="en-GB"/>
              </w:rPr>
              <w:t xml:space="preserve">£3,779.26 </w:t>
            </w:r>
          </w:p>
        </w:tc>
      </w:tr>
    </w:tbl>
    <w:p w14:paraId="34E40ABF" w14:textId="77777777" w:rsidR="00353410" w:rsidRPr="0057758B" w:rsidRDefault="00353410" w:rsidP="00353410">
      <w:pPr>
        <w:spacing w:after="120"/>
        <w:ind w:left="1287"/>
        <w:jc w:val="left"/>
        <w:rPr>
          <w:rFonts w:ascii="Calibri" w:hAnsi="Calibri" w:cs="Calibri"/>
          <w:sz w:val="22"/>
          <w:szCs w:val="22"/>
          <w:lang w:eastAsia="zh-CN"/>
        </w:rPr>
      </w:pPr>
    </w:p>
    <w:p w14:paraId="465746A9" w14:textId="77777777" w:rsidR="0079519E" w:rsidRDefault="00000000">
      <w:pPr>
        <w:numPr>
          <w:ilvl w:val="0"/>
          <w:numId w:val="4"/>
        </w:numPr>
        <w:spacing w:after="120"/>
        <w:jc w:val="left"/>
        <w:rPr>
          <w:rFonts w:asciiTheme="minorHAnsi" w:hAnsiTheme="minorHAnsi" w:cstheme="minorHAnsi"/>
          <w:sz w:val="22"/>
          <w:szCs w:val="22"/>
        </w:rPr>
      </w:pPr>
      <w:r>
        <w:rPr>
          <w:rFonts w:asciiTheme="minorHAnsi" w:hAnsiTheme="minorHAnsi" w:cstheme="minorHAnsi"/>
          <w:sz w:val="22"/>
          <w:szCs w:val="22"/>
        </w:rPr>
        <w:t>The Chairman of the Parish Meeting will give an opportunity for members of the public to bring matters of     interest to the meeting.  Please note that any such matters will be dealt with under the provisions of the Parish Meeting’s Standing Orders adopted on 15</w:t>
      </w:r>
      <w:r>
        <w:rPr>
          <w:rFonts w:asciiTheme="minorHAnsi" w:hAnsiTheme="minorHAnsi" w:cstheme="minorHAnsi"/>
          <w:sz w:val="22"/>
          <w:szCs w:val="22"/>
          <w:vertAlign w:val="superscript"/>
        </w:rPr>
        <w:t>th</w:t>
      </w:r>
      <w:r>
        <w:rPr>
          <w:rFonts w:asciiTheme="minorHAnsi" w:hAnsiTheme="minorHAnsi" w:cstheme="minorHAnsi"/>
          <w:sz w:val="22"/>
          <w:szCs w:val="22"/>
        </w:rPr>
        <w:t xml:space="preserve"> July 2021. </w:t>
      </w:r>
    </w:p>
    <w:p w14:paraId="753B2826" w14:textId="77777777" w:rsidR="0079519E" w:rsidRDefault="0079519E"/>
    <w:p w14:paraId="5FF2AADF" w14:textId="60F62FB3" w:rsidR="00353410" w:rsidRDefault="00353410" w:rsidP="00353410">
      <w:pPr>
        <w:tabs>
          <w:tab w:val="left" w:pos="2690"/>
        </w:tabs>
      </w:pPr>
      <w:r>
        <w:tab/>
      </w:r>
    </w:p>
    <w:sectPr w:rsidR="00353410">
      <w:footerReference w:type="default" r:id="rId8"/>
      <w:type w:val="continuous"/>
      <w:pgSz w:w="11906" w:h="16838"/>
      <w:pgMar w:top="576" w:right="849" w:bottom="576" w:left="993"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A7349" w14:textId="77777777" w:rsidR="00BB6E53" w:rsidRDefault="00BB6E53">
      <w:r>
        <w:separator/>
      </w:r>
    </w:p>
  </w:endnote>
  <w:endnote w:type="continuationSeparator" w:id="0">
    <w:p w14:paraId="4E1CDB3C" w14:textId="77777777" w:rsidR="00BB6E53" w:rsidRDefault="00BB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4D"/>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11DC" w14:textId="07B80544" w:rsidR="0079519E" w:rsidRDefault="005911F1">
    <w:pPr>
      <w:pStyle w:val="Footer"/>
      <w:tabs>
        <w:tab w:val="clear" w:pos="4320"/>
        <w:tab w:val="clear" w:pos="8640"/>
        <w:tab w:val="center" w:pos="5103"/>
        <w:tab w:val="right" w:pos="10206"/>
      </w:tabs>
      <w:rPr>
        <w:rFonts w:ascii="Calibri" w:hAnsi="Calibri" w:cs="Calibri"/>
        <w:sz w:val="16"/>
        <w:szCs w:val="16"/>
        <w:vertAlign w:val="superscript"/>
      </w:rPr>
    </w:pPr>
    <w:r>
      <w:rPr>
        <w:rFonts w:ascii="Calibri" w:hAnsi="Calibri" w:cs="Calibri"/>
        <w:sz w:val="16"/>
        <w:szCs w:val="16"/>
      </w:rPr>
      <w:t>March</w:t>
    </w:r>
    <w:r w:rsidR="00C36E12">
      <w:rPr>
        <w:rFonts w:ascii="Calibri" w:hAnsi="Calibri" w:cs="Calibri"/>
        <w:sz w:val="16"/>
        <w:szCs w:val="16"/>
      </w:rPr>
      <w:t xml:space="preserve"> </w:t>
    </w:r>
    <w:r w:rsidR="00BC3E04">
      <w:rPr>
        <w:rFonts w:ascii="Calibri" w:hAnsi="Calibri" w:cs="Calibri"/>
        <w:sz w:val="16"/>
        <w:szCs w:val="16"/>
      </w:rPr>
      <w:t>202</w:t>
    </w:r>
    <w:r>
      <w:rPr>
        <w:rFonts w:ascii="Calibri" w:hAnsi="Calibri" w:cs="Calibri"/>
        <w:sz w:val="16"/>
        <w:szCs w:val="16"/>
      </w:rPr>
      <w:t xml:space="preserve">6 </w:t>
    </w:r>
    <w:r w:rsidR="00BC3E04">
      <w:rPr>
        <w:rFonts w:ascii="Calibri" w:hAnsi="Calibri" w:cs="Calibri"/>
        <w:sz w:val="16"/>
        <w:szCs w:val="16"/>
      </w:rPr>
      <w:t>Meeting</w:t>
    </w:r>
    <w:r w:rsidR="00BC3E04">
      <w:rPr>
        <w:rFonts w:ascii="Calibri" w:hAnsi="Calibri" w:cs="Calibri"/>
        <w:sz w:val="16"/>
        <w:szCs w:val="16"/>
      </w:rPr>
      <w:tab/>
      <w:t>Peckforton Parish Meeting Agenda</w:t>
    </w:r>
    <w:r w:rsidR="00BC3E04">
      <w:rPr>
        <w:rFonts w:ascii="Calibri" w:hAnsi="Calibri" w:cs="Calibri"/>
        <w:sz w:val="16"/>
        <w:szCs w:val="16"/>
      </w:rPr>
      <w:tab/>
      <w:t xml:space="preserve">Page </w:t>
    </w:r>
    <w:r w:rsidR="00BC3E04">
      <w:rPr>
        <w:rFonts w:ascii="Calibri" w:hAnsi="Calibri" w:cs="Calibri"/>
        <w:b/>
        <w:bCs/>
        <w:sz w:val="16"/>
        <w:szCs w:val="16"/>
      </w:rPr>
      <w:fldChar w:fldCharType="begin"/>
    </w:r>
    <w:r w:rsidR="00BC3E04">
      <w:rPr>
        <w:rFonts w:ascii="Calibri" w:hAnsi="Calibri" w:cs="Calibri"/>
        <w:b/>
        <w:bCs/>
        <w:sz w:val="16"/>
        <w:szCs w:val="16"/>
      </w:rPr>
      <w:instrText xml:space="preserve"> PAGE  \* Arabic  \* MERGEFORMAT </w:instrText>
    </w:r>
    <w:r w:rsidR="00BC3E04">
      <w:rPr>
        <w:rFonts w:ascii="Calibri" w:hAnsi="Calibri" w:cs="Calibri"/>
        <w:b/>
        <w:bCs/>
        <w:sz w:val="16"/>
        <w:szCs w:val="16"/>
      </w:rPr>
      <w:fldChar w:fldCharType="separate"/>
    </w:r>
    <w:r w:rsidR="00BC3E04">
      <w:rPr>
        <w:rFonts w:ascii="Calibri" w:hAnsi="Calibri" w:cs="Calibri"/>
        <w:b/>
        <w:bCs/>
        <w:sz w:val="16"/>
        <w:szCs w:val="16"/>
      </w:rPr>
      <w:t>1</w:t>
    </w:r>
    <w:r w:rsidR="00BC3E04">
      <w:rPr>
        <w:rFonts w:ascii="Calibri" w:hAnsi="Calibri" w:cs="Calibri"/>
        <w:b/>
        <w:bCs/>
        <w:sz w:val="16"/>
        <w:szCs w:val="16"/>
      </w:rPr>
      <w:fldChar w:fldCharType="end"/>
    </w:r>
    <w:r w:rsidR="00BC3E04">
      <w:rPr>
        <w:rFonts w:ascii="Calibri" w:hAnsi="Calibri" w:cs="Calibri"/>
        <w:sz w:val="16"/>
        <w:szCs w:val="16"/>
      </w:rPr>
      <w:t xml:space="preserve"> of </w:t>
    </w:r>
    <w:r w:rsidR="00BC3E04">
      <w:rPr>
        <w:rFonts w:ascii="Calibri" w:hAnsi="Calibri" w:cs="Calibri"/>
        <w:b/>
        <w:bCs/>
        <w:sz w:val="16"/>
        <w:szCs w:val="16"/>
      </w:rPr>
      <w:fldChar w:fldCharType="begin"/>
    </w:r>
    <w:r w:rsidR="00BC3E04">
      <w:rPr>
        <w:rFonts w:ascii="Calibri" w:hAnsi="Calibri" w:cs="Calibri"/>
        <w:b/>
        <w:bCs/>
        <w:sz w:val="16"/>
        <w:szCs w:val="16"/>
      </w:rPr>
      <w:instrText xml:space="preserve"> NUMPAGES  \* Arabic  \* MERGEFORMAT </w:instrText>
    </w:r>
    <w:r w:rsidR="00BC3E04">
      <w:rPr>
        <w:rFonts w:ascii="Calibri" w:hAnsi="Calibri" w:cs="Calibri"/>
        <w:b/>
        <w:bCs/>
        <w:sz w:val="16"/>
        <w:szCs w:val="16"/>
      </w:rPr>
      <w:fldChar w:fldCharType="separate"/>
    </w:r>
    <w:r w:rsidR="00BC3E04">
      <w:rPr>
        <w:rFonts w:ascii="Calibri" w:hAnsi="Calibri" w:cs="Calibri"/>
        <w:b/>
        <w:bCs/>
        <w:sz w:val="16"/>
        <w:szCs w:val="16"/>
      </w:rPr>
      <w:t>2</w:t>
    </w:r>
    <w:r w:rsidR="00BC3E04">
      <w:rPr>
        <w:rFonts w:ascii="Calibri" w:hAnsi="Calibri" w:cs="Calibr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430C3" w14:textId="77777777" w:rsidR="00BB6E53" w:rsidRDefault="00BB6E53">
      <w:r>
        <w:separator/>
      </w:r>
    </w:p>
  </w:footnote>
  <w:footnote w:type="continuationSeparator" w:id="0">
    <w:p w14:paraId="096E76F1" w14:textId="77777777" w:rsidR="00BB6E53" w:rsidRDefault="00BB6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30E"/>
    <w:multiLevelType w:val="multilevel"/>
    <w:tmpl w:val="095E030E"/>
    <w:lvl w:ilvl="0">
      <w:start w:val="1"/>
      <w:numFmt w:val="decimal"/>
      <w:pStyle w:val="Head1"/>
      <w:lvlText w:val="%1"/>
      <w:lvlJc w:val="left"/>
      <w:pPr>
        <w:tabs>
          <w:tab w:val="left" w:pos="1288"/>
        </w:tabs>
        <w:ind w:left="1288" w:hanging="720"/>
      </w:pPr>
      <w:rPr>
        <w:rFonts w:ascii="Arial Bold" w:hAnsi="Arial Bold" w:hint="default"/>
        <w:b/>
        <w:i w:val="0"/>
      </w:rPr>
    </w:lvl>
    <w:lvl w:ilvl="1">
      <w:start w:val="1"/>
      <w:numFmt w:val="lowerRoman"/>
      <w:lvlText w:val="%2."/>
      <w:lvlJc w:val="left"/>
      <w:pPr>
        <w:tabs>
          <w:tab w:val="left" w:pos="1477"/>
        </w:tabs>
        <w:ind w:left="1440" w:hanging="360"/>
      </w:pPr>
      <w:rPr>
        <w:rFonts w:hint="default"/>
        <w:b w:val="0"/>
        <w:i w:val="0"/>
        <w:sz w:val="20"/>
        <w:szCs w:val="20"/>
      </w:rPr>
    </w:lvl>
    <w:lvl w:ilvl="2">
      <w:start w:val="1"/>
      <w:numFmt w:val="lowerLetter"/>
      <w:lvlText w:val="%3"/>
      <w:lvlJc w:val="left"/>
      <w:pPr>
        <w:tabs>
          <w:tab w:val="left" w:pos="2547"/>
        </w:tabs>
        <w:ind w:left="2547" w:hanging="567"/>
      </w:pPr>
      <w:rPr>
        <w:rFonts w:hint="default"/>
        <w:b/>
        <w:i w:val="0"/>
      </w:rPr>
    </w:lvl>
    <w:lvl w:ilvl="3">
      <w:start w:val="1"/>
      <w:numFmt w:val="lowerRoman"/>
      <w:lvlText w:val="%4."/>
      <w:lvlJc w:val="left"/>
      <w:pPr>
        <w:tabs>
          <w:tab w:val="left" w:pos="2917"/>
        </w:tabs>
        <w:ind w:left="2880" w:hanging="360"/>
      </w:pPr>
      <w:rPr>
        <w:rFonts w:hint="default"/>
        <w:b w:val="0"/>
        <w:i w:val="0"/>
        <w:sz w:val="20"/>
        <w:szCs w:val="20"/>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88C3E9E"/>
    <w:multiLevelType w:val="singleLevel"/>
    <w:tmpl w:val="288C3E9E"/>
    <w:lvl w:ilvl="0">
      <w:start w:val="1"/>
      <w:numFmt w:val="bullet"/>
      <w:pStyle w:val="ListBullet"/>
      <w:lvlText w:val=""/>
      <w:lvlJc w:val="left"/>
      <w:pPr>
        <w:tabs>
          <w:tab w:val="left" w:pos="360"/>
        </w:tabs>
        <w:ind w:left="360" w:hanging="360"/>
      </w:pPr>
      <w:rPr>
        <w:rFonts w:ascii="Wingdings" w:hAnsi="Wingdings" w:hint="default"/>
      </w:rPr>
    </w:lvl>
  </w:abstractNum>
  <w:abstractNum w:abstractNumId="2" w15:restartNumberingAfterBreak="0">
    <w:nsid w:val="66230FF8"/>
    <w:multiLevelType w:val="singleLevel"/>
    <w:tmpl w:val="66230FF8"/>
    <w:lvl w:ilvl="0">
      <w:start w:val="1"/>
      <w:numFmt w:val="decimal"/>
      <w:pStyle w:val="ListNumber"/>
      <w:lvlText w:val="%1)"/>
      <w:lvlJc w:val="left"/>
      <w:pPr>
        <w:tabs>
          <w:tab w:val="left" w:pos="360"/>
        </w:tabs>
        <w:ind w:left="360" w:hanging="360"/>
      </w:pPr>
    </w:lvl>
  </w:abstractNum>
  <w:abstractNum w:abstractNumId="3" w15:restartNumberingAfterBreak="0">
    <w:nsid w:val="6849112A"/>
    <w:multiLevelType w:val="multilevel"/>
    <w:tmpl w:val="6849112A"/>
    <w:lvl w:ilvl="0">
      <w:start w:val="1"/>
      <w:numFmt w:val="decimal"/>
      <w:lvlText w:val="%1."/>
      <w:lvlJc w:val="left"/>
      <w:pPr>
        <w:tabs>
          <w:tab w:val="left" w:pos="567"/>
        </w:tabs>
        <w:ind w:left="567" w:hanging="567"/>
      </w:pPr>
      <w:rPr>
        <w:rFonts w:hint="default"/>
        <w:b/>
        <w:i w:val="0"/>
        <w:iCs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E14EC77"/>
    <w:multiLevelType w:val="singleLevel"/>
    <w:tmpl w:val="6E14EC77"/>
    <w:lvl w:ilvl="0">
      <w:start w:val="1"/>
      <w:numFmt w:val="lowerRoman"/>
      <w:suff w:val="space"/>
      <w:lvlText w:val="%1)"/>
      <w:lvlJc w:val="left"/>
    </w:lvl>
  </w:abstractNum>
  <w:num w:numId="1" w16cid:durableId="506940178">
    <w:abstractNumId w:val="1"/>
  </w:num>
  <w:num w:numId="2" w16cid:durableId="1996032861">
    <w:abstractNumId w:val="2"/>
  </w:num>
  <w:num w:numId="3" w16cid:durableId="844169857">
    <w:abstractNumId w:val="0"/>
  </w:num>
  <w:num w:numId="4" w16cid:durableId="1280532818">
    <w:abstractNumId w:val="3"/>
  </w:num>
  <w:num w:numId="5" w16cid:durableId="127205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oNotHyphenateCaps/>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F0"/>
    <w:rsid w:val="00000703"/>
    <w:rsid w:val="0000486D"/>
    <w:rsid w:val="00011FE0"/>
    <w:rsid w:val="00023AB2"/>
    <w:rsid w:val="00030394"/>
    <w:rsid w:val="00030D25"/>
    <w:rsid w:val="0003125D"/>
    <w:rsid w:val="00043F22"/>
    <w:rsid w:val="000451E5"/>
    <w:rsid w:val="000677B3"/>
    <w:rsid w:val="00067BCB"/>
    <w:rsid w:val="00096C72"/>
    <w:rsid w:val="000A79E0"/>
    <w:rsid w:val="000B04C5"/>
    <w:rsid w:val="000B24AF"/>
    <w:rsid w:val="000C3F5B"/>
    <w:rsid w:val="000D4965"/>
    <w:rsid w:val="000E5766"/>
    <w:rsid w:val="000F3397"/>
    <w:rsid w:val="000F538A"/>
    <w:rsid w:val="00107418"/>
    <w:rsid w:val="00111DBB"/>
    <w:rsid w:val="00111E83"/>
    <w:rsid w:val="00115AA0"/>
    <w:rsid w:val="001256C5"/>
    <w:rsid w:val="0013001E"/>
    <w:rsid w:val="0013228C"/>
    <w:rsid w:val="001345E8"/>
    <w:rsid w:val="00136D44"/>
    <w:rsid w:val="0014572F"/>
    <w:rsid w:val="00152E8C"/>
    <w:rsid w:val="0015539F"/>
    <w:rsid w:val="00162D42"/>
    <w:rsid w:val="001767FC"/>
    <w:rsid w:val="00181F74"/>
    <w:rsid w:val="00183A7F"/>
    <w:rsid w:val="001917FD"/>
    <w:rsid w:val="00196163"/>
    <w:rsid w:val="00196396"/>
    <w:rsid w:val="00197D0B"/>
    <w:rsid w:val="001A10DC"/>
    <w:rsid w:val="001A3C46"/>
    <w:rsid w:val="001C2E16"/>
    <w:rsid w:val="001C7A2C"/>
    <w:rsid w:val="001F35AA"/>
    <w:rsid w:val="001F4C65"/>
    <w:rsid w:val="00203C74"/>
    <w:rsid w:val="00207BA3"/>
    <w:rsid w:val="00210FFA"/>
    <w:rsid w:val="00211C3F"/>
    <w:rsid w:val="00215C48"/>
    <w:rsid w:val="00217101"/>
    <w:rsid w:val="0022107D"/>
    <w:rsid w:val="00237539"/>
    <w:rsid w:val="00254058"/>
    <w:rsid w:val="002600BE"/>
    <w:rsid w:val="00267A70"/>
    <w:rsid w:val="00275511"/>
    <w:rsid w:val="00280A78"/>
    <w:rsid w:val="00285962"/>
    <w:rsid w:val="00290426"/>
    <w:rsid w:val="00291AF1"/>
    <w:rsid w:val="00292A9E"/>
    <w:rsid w:val="00295873"/>
    <w:rsid w:val="002A609A"/>
    <w:rsid w:val="002B5A74"/>
    <w:rsid w:val="002C0A59"/>
    <w:rsid w:val="002C3746"/>
    <w:rsid w:val="002D27A7"/>
    <w:rsid w:val="002D5B88"/>
    <w:rsid w:val="002E2949"/>
    <w:rsid w:val="002E63EA"/>
    <w:rsid w:val="003009C2"/>
    <w:rsid w:val="0030747C"/>
    <w:rsid w:val="00323FBE"/>
    <w:rsid w:val="00335F7E"/>
    <w:rsid w:val="00337103"/>
    <w:rsid w:val="00344AD3"/>
    <w:rsid w:val="00347351"/>
    <w:rsid w:val="003511D4"/>
    <w:rsid w:val="00353410"/>
    <w:rsid w:val="00354195"/>
    <w:rsid w:val="00355BD1"/>
    <w:rsid w:val="00361414"/>
    <w:rsid w:val="00364F06"/>
    <w:rsid w:val="00382DE3"/>
    <w:rsid w:val="00395193"/>
    <w:rsid w:val="0039736B"/>
    <w:rsid w:val="0039744A"/>
    <w:rsid w:val="003B249C"/>
    <w:rsid w:val="003B5B0A"/>
    <w:rsid w:val="003C2008"/>
    <w:rsid w:val="003C4800"/>
    <w:rsid w:val="003D3C65"/>
    <w:rsid w:val="003D568B"/>
    <w:rsid w:val="003E2E3E"/>
    <w:rsid w:val="003E5FDD"/>
    <w:rsid w:val="00401570"/>
    <w:rsid w:val="00406463"/>
    <w:rsid w:val="00422061"/>
    <w:rsid w:val="00422C5C"/>
    <w:rsid w:val="00431372"/>
    <w:rsid w:val="00432794"/>
    <w:rsid w:val="00435A68"/>
    <w:rsid w:val="00435F53"/>
    <w:rsid w:val="00440BC0"/>
    <w:rsid w:val="0046027F"/>
    <w:rsid w:val="00473595"/>
    <w:rsid w:val="004834D4"/>
    <w:rsid w:val="00486F66"/>
    <w:rsid w:val="004A6E65"/>
    <w:rsid w:val="004E5824"/>
    <w:rsid w:val="004E7B21"/>
    <w:rsid w:val="004F24D2"/>
    <w:rsid w:val="004F2DE9"/>
    <w:rsid w:val="004F3E5F"/>
    <w:rsid w:val="004F4928"/>
    <w:rsid w:val="004F6BB9"/>
    <w:rsid w:val="00522081"/>
    <w:rsid w:val="00543465"/>
    <w:rsid w:val="00545680"/>
    <w:rsid w:val="00553EB1"/>
    <w:rsid w:val="0057096E"/>
    <w:rsid w:val="0057758B"/>
    <w:rsid w:val="005829C3"/>
    <w:rsid w:val="005853F7"/>
    <w:rsid w:val="00585D19"/>
    <w:rsid w:val="00587B40"/>
    <w:rsid w:val="005911F1"/>
    <w:rsid w:val="00591DB2"/>
    <w:rsid w:val="0059407A"/>
    <w:rsid w:val="00595176"/>
    <w:rsid w:val="005963C9"/>
    <w:rsid w:val="005B1FCC"/>
    <w:rsid w:val="005B2890"/>
    <w:rsid w:val="005B3D6C"/>
    <w:rsid w:val="005C084E"/>
    <w:rsid w:val="005C3CD4"/>
    <w:rsid w:val="005D6E7A"/>
    <w:rsid w:val="005E059E"/>
    <w:rsid w:val="005E28AD"/>
    <w:rsid w:val="005E3B4E"/>
    <w:rsid w:val="005E4D0D"/>
    <w:rsid w:val="005F01FC"/>
    <w:rsid w:val="005F0795"/>
    <w:rsid w:val="005F64B2"/>
    <w:rsid w:val="006004DF"/>
    <w:rsid w:val="00601F3B"/>
    <w:rsid w:val="00626C74"/>
    <w:rsid w:val="006303AC"/>
    <w:rsid w:val="006338AA"/>
    <w:rsid w:val="00636C61"/>
    <w:rsid w:val="006517B3"/>
    <w:rsid w:val="00661DB5"/>
    <w:rsid w:val="00672421"/>
    <w:rsid w:val="006814D4"/>
    <w:rsid w:val="00690371"/>
    <w:rsid w:val="00694A2E"/>
    <w:rsid w:val="006A4C05"/>
    <w:rsid w:val="006B26B9"/>
    <w:rsid w:val="006B4425"/>
    <w:rsid w:val="006B648D"/>
    <w:rsid w:val="006C2644"/>
    <w:rsid w:val="006D5A5A"/>
    <w:rsid w:val="006E0560"/>
    <w:rsid w:val="006E3424"/>
    <w:rsid w:val="00704E38"/>
    <w:rsid w:val="0073176D"/>
    <w:rsid w:val="007378FA"/>
    <w:rsid w:val="00772DBE"/>
    <w:rsid w:val="00774C8D"/>
    <w:rsid w:val="00775516"/>
    <w:rsid w:val="00783B59"/>
    <w:rsid w:val="0079519E"/>
    <w:rsid w:val="007B068D"/>
    <w:rsid w:val="007B1FB8"/>
    <w:rsid w:val="007B3758"/>
    <w:rsid w:val="007C03A0"/>
    <w:rsid w:val="007C1776"/>
    <w:rsid w:val="007C40E5"/>
    <w:rsid w:val="007C6B4D"/>
    <w:rsid w:val="007E2F1F"/>
    <w:rsid w:val="007E5432"/>
    <w:rsid w:val="007F22DD"/>
    <w:rsid w:val="007F63B2"/>
    <w:rsid w:val="007F6603"/>
    <w:rsid w:val="00800EF0"/>
    <w:rsid w:val="008120E5"/>
    <w:rsid w:val="008143AB"/>
    <w:rsid w:val="00815D82"/>
    <w:rsid w:val="008208FB"/>
    <w:rsid w:val="00825505"/>
    <w:rsid w:val="00845B2C"/>
    <w:rsid w:val="008512E0"/>
    <w:rsid w:val="008553C1"/>
    <w:rsid w:val="00856E5D"/>
    <w:rsid w:val="0086592F"/>
    <w:rsid w:val="00866B3F"/>
    <w:rsid w:val="0088048D"/>
    <w:rsid w:val="00885EF5"/>
    <w:rsid w:val="0088646B"/>
    <w:rsid w:val="008A1E31"/>
    <w:rsid w:val="008A527D"/>
    <w:rsid w:val="008B4C84"/>
    <w:rsid w:val="008B595E"/>
    <w:rsid w:val="008B7C2A"/>
    <w:rsid w:val="008C049B"/>
    <w:rsid w:val="008F4F73"/>
    <w:rsid w:val="008F670B"/>
    <w:rsid w:val="00900F30"/>
    <w:rsid w:val="0090241D"/>
    <w:rsid w:val="00914B1F"/>
    <w:rsid w:val="00915CCC"/>
    <w:rsid w:val="0092157B"/>
    <w:rsid w:val="0093692A"/>
    <w:rsid w:val="00936B35"/>
    <w:rsid w:val="00953BEF"/>
    <w:rsid w:val="00955104"/>
    <w:rsid w:val="0096371C"/>
    <w:rsid w:val="00964D92"/>
    <w:rsid w:val="0097391E"/>
    <w:rsid w:val="009763A4"/>
    <w:rsid w:val="009865DE"/>
    <w:rsid w:val="0099732D"/>
    <w:rsid w:val="009A2EDF"/>
    <w:rsid w:val="009C0943"/>
    <w:rsid w:val="009C28C9"/>
    <w:rsid w:val="009C41A3"/>
    <w:rsid w:val="009C5EF0"/>
    <w:rsid w:val="009D3E9F"/>
    <w:rsid w:val="009E291F"/>
    <w:rsid w:val="009E2D14"/>
    <w:rsid w:val="009F02E4"/>
    <w:rsid w:val="009F500A"/>
    <w:rsid w:val="00A00564"/>
    <w:rsid w:val="00A02156"/>
    <w:rsid w:val="00A321AE"/>
    <w:rsid w:val="00A33278"/>
    <w:rsid w:val="00A35D75"/>
    <w:rsid w:val="00A475D4"/>
    <w:rsid w:val="00A50F19"/>
    <w:rsid w:val="00A53B9B"/>
    <w:rsid w:val="00A571CA"/>
    <w:rsid w:val="00A57AA4"/>
    <w:rsid w:val="00A7229E"/>
    <w:rsid w:val="00A87F9D"/>
    <w:rsid w:val="00A95E54"/>
    <w:rsid w:val="00AA074F"/>
    <w:rsid w:val="00AA6441"/>
    <w:rsid w:val="00AA6511"/>
    <w:rsid w:val="00AC25C3"/>
    <w:rsid w:val="00AC39CA"/>
    <w:rsid w:val="00AC5F98"/>
    <w:rsid w:val="00AD26F6"/>
    <w:rsid w:val="00AE5DFB"/>
    <w:rsid w:val="00AE6B6D"/>
    <w:rsid w:val="00AF34BB"/>
    <w:rsid w:val="00B13893"/>
    <w:rsid w:val="00B15659"/>
    <w:rsid w:val="00B337D0"/>
    <w:rsid w:val="00B36B65"/>
    <w:rsid w:val="00B37677"/>
    <w:rsid w:val="00B43002"/>
    <w:rsid w:val="00B43479"/>
    <w:rsid w:val="00B456A4"/>
    <w:rsid w:val="00B72009"/>
    <w:rsid w:val="00B745A6"/>
    <w:rsid w:val="00B75E8C"/>
    <w:rsid w:val="00B76E45"/>
    <w:rsid w:val="00B810D8"/>
    <w:rsid w:val="00B82343"/>
    <w:rsid w:val="00B929FD"/>
    <w:rsid w:val="00B952F6"/>
    <w:rsid w:val="00BA6176"/>
    <w:rsid w:val="00BB6E53"/>
    <w:rsid w:val="00BC2052"/>
    <w:rsid w:val="00BC3E04"/>
    <w:rsid w:val="00BC59C2"/>
    <w:rsid w:val="00BD2AFB"/>
    <w:rsid w:val="00BD5368"/>
    <w:rsid w:val="00BD76DC"/>
    <w:rsid w:val="00BF4520"/>
    <w:rsid w:val="00C05B48"/>
    <w:rsid w:val="00C3161B"/>
    <w:rsid w:val="00C33516"/>
    <w:rsid w:val="00C36E12"/>
    <w:rsid w:val="00C43E14"/>
    <w:rsid w:val="00C463FF"/>
    <w:rsid w:val="00C52B16"/>
    <w:rsid w:val="00C6409C"/>
    <w:rsid w:val="00C712EF"/>
    <w:rsid w:val="00C7137E"/>
    <w:rsid w:val="00C72521"/>
    <w:rsid w:val="00C72B83"/>
    <w:rsid w:val="00C738E5"/>
    <w:rsid w:val="00C86F1C"/>
    <w:rsid w:val="00C92A65"/>
    <w:rsid w:val="00CB14D2"/>
    <w:rsid w:val="00CB76B5"/>
    <w:rsid w:val="00CC7CEF"/>
    <w:rsid w:val="00CD0E00"/>
    <w:rsid w:val="00CD36EE"/>
    <w:rsid w:val="00CD72BD"/>
    <w:rsid w:val="00CE5AF4"/>
    <w:rsid w:val="00CF0375"/>
    <w:rsid w:val="00CF206A"/>
    <w:rsid w:val="00CF411F"/>
    <w:rsid w:val="00CF5910"/>
    <w:rsid w:val="00D03502"/>
    <w:rsid w:val="00D06004"/>
    <w:rsid w:val="00D07F51"/>
    <w:rsid w:val="00D1279E"/>
    <w:rsid w:val="00D1572C"/>
    <w:rsid w:val="00D164BD"/>
    <w:rsid w:val="00D24400"/>
    <w:rsid w:val="00D404AE"/>
    <w:rsid w:val="00D4336F"/>
    <w:rsid w:val="00D44E86"/>
    <w:rsid w:val="00D65E92"/>
    <w:rsid w:val="00D708FF"/>
    <w:rsid w:val="00D74AAD"/>
    <w:rsid w:val="00D77E9D"/>
    <w:rsid w:val="00D919E2"/>
    <w:rsid w:val="00D922B0"/>
    <w:rsid w:val="00D9697F"/>
    <w:rsid w:val="00D96B4B"/>
    <w:rsid w:val="00DB35B2"/>
    <w:rsid w:val="00DC07CC"/>
    <w:rsid w:val="00DC6F84"/>
    <w:rsid w:val="00DD1D9A"/>
    <w:rsid w:val="00DD4D27"/>
    <w:rsid w:val="00DD56AA"/>
    <w:rsid w:val="00DE0150"/>
    <w:rsid w:val="00DF099A"/>
    <w:rsid w:val="00E016C4"/>
    <w:rsid w:val="00E05586"/>
    <w:rsid w:val="00E23295"/>
    <w:rsid w:val="00E307A6"/>
    <w:rsid w:val="00E37F04"/>
    <w:rsid w:val="00E42252"/>
    <w:rsid w:val="00E43B36"/>
    <w:rsid w:val="00E47820"/>
    <w:rsid w:val="00E57BFF"/>
    <w:rsid w:val="00E61E96"/>
    <w:rsid w:val="00E61FA5"/>
    <w:rsid w:val="00E73CDA"/>
    <w:rsid w:val="00E80774"/>
    <w:rsid w:val="00E815BA"/>
    <w:rsid w:val="00E8685F"/>
    <w:rsid w:val="00E876C7"/>
    <w:rsid w:val="00E93F96"/>
    <w:rsid w:val="00E96D5E"/>
    <w:rsid w:val="00EA4026"/>
    <w:rsid w:val="00EB395C"/>
    <w:rsid w:val="00EC0931"/>
    <w:rsid w:val="00EC2441"/>
    <w:rsid w:val="00ED7A9B"/>
    <w:rsid w:val="00EE1084"/>
    <w:rsid w:val="00EE6D7A"/>
    <w:rsid w:val="00EF2CC1"/>
    <w:rsid w:val="00EF47DD"/>
    <w:rsid w:val="00EF4FB0"/>
    <w:rsid w:val="00F02EE8"/>
    <w:rsid w:val="00F0322C"/>
    <w:rsid w:val="00F04BC5"/>
    <w:rsid w:val="00F1561A"/>
    <w:rsid w:val="00F30BE1"/>
    <w:rsid w:val="00F3122D"/>
    <w:rsid w:val="00F37D3F"/>
    <w:rsid w:val="00F522DE"/>
    <w:rsid w:val="00F533FF"/>
    <w:rsid w:val="00F54CD5"/>
    <w:rsid w:val="00F5538D"/>
    <w:rsid w:val="00F60B88"/>
    <w:rsid w:val="00F64CBE"/>
    <w:rsid w:val="00F74303"/>
    <w:rsid w:val="00F84413"/>
    <w:rsid w:val="00FA74C9"/>
    <w:rsid w:val="00FB3996"/>
    <w:rsid w:val="00FC0E44"/>
    <w:rsid w:val="00FC5C8C"/>
    <w:rsid w:val="00FC6AD1"/>
    <w:rsid w:val="00FD47CD"/>
    <w:rsid w:val="00FE0405"/>
    <w:rsid w:val="00FE4E2F"/>
    <w:rsid w:val="00FE79A6"/>
    <w:rsid w:val="00FF01C3"/>
    <w:rsid w:val="00FF428F"/>
    <w:rsid w:val="06321438"/>
    <w:rsid w:val="06A47D83"/>
    <w:rsid w:val="09ED1504"/>
    <w:rsid w:val="0A666083"/>
    <w:rsid w:val="0A6F0F7A"/>
    <w:rsid w:val="0AAC4CD1"/>
    <w:rsid w:val="0B3F46A3"/>
    <w:rsid w:val="0FB95017"/>
    <w:rsid w:val="10054870"/>
    <w:rsid w:val="102C6A98"/>
    <w:rsid w:val="11581E84"/>
    <w:rsid w:val="119C1068"/>
    <w:rsid w:val="15935A27"/>
    <w:rsid w:val="18793012"/>
    <w:rsid w:val="1AD70716"/>
    <w:rsid w:val="1CF560CE"/>
    <w:rsid w:val="20015C77"/>
    <w:rsid w:val="20D668B0"/>
    <w:rsid w:val="21F325B7"/>
    <w:rsid w:val="25620BC5"/>
    <w:rsid w:val="265E3802"/>
    <w:rsid w:val="27637A63"/>
    <w:rsid w:val="28022043"/>
    <w:rsid w:val="28A345D2"/>
    <w:rsid w:val="292C7AB1"/>
    <w:rsid w:val="2ED875AF"/>
    <w:rsid w:val="31466939"/>
    <w:rsid w:val="31E63D3E"/>
    <w:rsid w:val="332B7364"/>
    <w:rsid w:val="361E23DE"/>
    <w:rsid w:val="377E7D70"/>
    <w:rsid w:val="37A91049"/>
    <w:rsid w:val="3B002D13"/>
    <w:rsid w:val="3C050691"/>
    <w:rsid w:val="3CEB2270"/>
    <w:rsid w:val="3D494F99"/>
    <w:rsid w:val="3DFF41CD"/>
    <w:rsid w:val="3F5147FF"/>
    <w:rsid w:val="3FEB2799"/>
    <w:rsid w:val="416A77EA"/>
    <w:rsid w:val="43871F02"/>
    <w:rsid w:val="43BE4985"/>
    <w:rsid w:val="45493B2B"/>
    <w:rsid w:val="47136F48"/>
    <w:rsid w:val="4B5F5833"/>
    <w:rsid w:val="4FE50E06"/>
    <w:rsid w:val="50DB6A92"/>
    <w:rsid w:val="54302BD1"/>
    <w:rsid w:val="5512265B"/>
    <w:rsid w:val="5ABA7B74"/>
    <w:rsid w:val="5AF26460"/>
    <w:rsid w:val="5D1054FF"/>
    <w:rsid w:val="5FED1740"/>
    <w:rsid w:val="5FF85B60"/>
    <w:rsid w:val="627562D9"/>
    <w:rsid w:val="63A76E19"/>
    <w:rsid w:val="67B84484"/>
    <w:rsid w:val="6B430199"/>
    <w:rsid w:val="6B5B6F15"/>
    <w:rsid w:val="6EC142E3"/>
    <w:rsid w:val="6FA7439C"/>
    <w:rsid w:val="704B28CA"/>
    <w:rsid w:val="704D10EC"/>
    <w:rsid w:val="722953DD"/>
    <w:rsid w:val="72C057B1"/>
    <w:rsid w:val="79A514AA"/>
    <w:rsid w:val="7AF514F1"/>
    <w:rsid w:val="7D3766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A0D48"/>
  <w15:docId w15:val="{21D9ECA5-9DB5-48F8-BE18-12B9CEAB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qFormat="1"/>
    <w:lsdException w:name="footer" w:qFormat="1"/>
    <w:lsdException w:name="caption" w:semiHidden="1" w:unhideWhenUsed="1" w:qFormat="1"/>
    <w:lsdException w:name="List" w:qFormat="1"/>
    <w:lsdException w:name="List Bullet" w:qFormat="1"/>
    <w:lsdException w:name="List Number"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eastAsia="Times New Roman" w:hAnsi="Arial"/>
      <w:spacing w:val="-5"/>
      <w:lang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outlineLvl w:val="7"/>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qFormat/>
    <w:pPr>
      <w:keepNext/>
      <w:keepLines/>
      <w:spacing w:line="220" w:lineRule="atLeast"/>
    </w:pPr>
    <w:rPr>
      <w:rFonts w:ascii="Arial Black" w:hAnsi="Arial Black"/>
      <w:spacing w:val="-10"/>
      <w:kern w:val="20"/>
    </w:rPr>
  </w:style>
  <w:style w:type="paragraph" w:styleId="BodyText">
    <w:name w:val="Body Text"/>
    <w:basedOn w:val="Normal"/>
    <w:qFormat/>
    <w:pPr>
      <w:spacing w:after="220" w:line="220" w:lineRule="atLeast"/>
    </w:pPr>
  </w:style>
  <w:style w:type="paragraph" w:styleId="BalloonText">
    <w:name w:val="Balloon Text"/>
    <w:basedOn w:val="Normal"/>
    <w:semiHidden/>
    <w:qFormat/>
    <w:rPr>
      <w:rFonts w:ascii="Tahoma" w:hAnsi="Tahoma" w:cs="Tahoma"/>
      <w:sz w:val="16"/>
      <w:szCs w:val="16"/>
    </w:rPr>
  </w:style>
  <w:style w:type="paragraph" w:styleId="BodyTextIndent">
    <w:name w:val="Body Text Indent"/>
    <w:basedOn w:val="Normal"/>
    <w:qFormat/>
    <w:rPr>
      <w:sz w:val="24"/>
    </w:rPr>
  </w:style>
  <w:style w:type="paragraph" w:styleId="Closing">
    <w:name w:val="Closing"/>
    <w:basedOn w:val="Normal"/>
    <w:next w:val="Signature"/>
    <w:qFormat/>
    <w:pPr>
      <w:keepNext/>
      <w:spacing w:after="60" w:line="220" w:lineRule="atLeast"/>
    </w:pPr>
  </w:style>
  <w:style w:type="paragraph" w:styleId="Signature">
    <w:name w:val="Signature"/>
    <w:basedOn w:val="Normal"/>
    <w:next w:val="SignatureJobTitle"/>
    <w:qFormat/>
    <w:pPr>
      <w:keepNext/>
      <w:spacing w:before="880" w:line="220" w:lineRule="atLeast"/>
      <w:jc w:val="left"/>
    </w:pPr>
  </w:style>
  <w:style w:type="paragraph" w:customStyle="1" w:styleId="SignatureJobTitle">
    <w:name w:val="Signature Job Title"/>
    <w:basedOn w:val="Signature"/>
    <w:next w:val="SignatureCompany"/>
    <w:qFormat/>
    <w:pPr>
      <w:spacing w:before="0"/>
    </w:pPr>
  </w:style>
  <w:style w:type="paragraph" w:customStyle="1" w:styleId="SignatureCompany">
    <w:name w:val="Signature Company"/>
    <w:basedOn w:val="Signature"/>
    <w:next w:val="ReferenceInitials"/>
    <w:qFormat/>
    <w:pPr>
      <w:spacing w:before="0"/>
    </w:pPr>
  </w:style>
  <w:style w:type="paragraph" w:customStyle="1" w:styleId="ReferenceInitials">
    <w:name w:val="Reference Initials"/>
    <w:basedOn w:val="Normal"/>
    <w:next w:val="Enclosure"/>
    <w:qFormat/>
    <w:pPr>
      <w:keepNext/>
      <w:keepLines/>
      <w:spacing w:before="220" w:line="220" w:lineRule="atLeast"/>
    </w:pPr>
  </w:style>
  <w:style w:type="paragraph" w:customStyle="1" w:styleId="Enclosure">
    <w:name w:val="Enclosure"/>
    <w:basedOn w:val="Normal"/>
    <w:next w:val="CcList"/>
    <w:qFormat/>
    <w:pPr>
      <w:keepNext/>
      <w:keepLines/>
      <w:spacing w:after="220" w:line="220" w:lineRule="atLeast"/>
    </w:pPr>
  </w:style>
  <w:style w:type="paragraph" w:customStyle="1" w:styleId="CcList">
    <w:name w:val="Cc List"/>
    <w:basedOn w:val="Normal"/>
    <w:qFormat/>
    <w:pPr>
      <w:keepLines/>
      <w:spacing w:line="220" w:lineRule="atLeast"/>
      <w:ind w:left="360" w:hanging="360"/>
    </w:pPr>
  </w:style>
  <w:style w:type="paragraph" w:styleId="Date">
    <w:name w:val="Date"/>
    <w:basedOn w:val="Normal"/>
    <w:next w:val="InsideAddressName"/>
    <w:qFormat/>
    <w:pPr>
      <w:spacing w:after="220" w:line="220" w:lineRule="atLeast"/>
    </w:pPr>
  </w:style>
  <w:style w:type="paragraph" w:customStyle="1" w:styleId="InsideAddressName">
    <w:name w:val="Inside Address Name"/>
    <w:basedOn w:val="InsideAddress"/>
    <w:next w:val="InsideAddress"/>
    <w:qFormat/>
    <w:pPr>
      <w:spacing w:before="220"/>
    </w:pPr>
  </w:style>
  <w:style w:type="paragraph" w:customStyle="1" w:styleId="InsideAddress">
    <w:name w:val="Inside Address"/>
    <w:basedOn w:val="Normal"/>
    <w:qFormat/>
    <w:pPr>
      <w:spacing w:line="220" w:lineRule="atLeast"/>
    </w:pPr>
  </w:style>
  <w:style w:type="character" w:styleId="Emphasis">
    <w:name w:val="Emphasis"/>
    <w:qFormat/>
    <w:rPr>
      <w:rFonts w:ascii="Arial Black" w:hAnsi="Arial Black"/>
      <w:sz w:val="18"/>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0563C1"/>
      <w:u w:val="single"/>
    </w:rPr>
  </w:style>
  <w:style w:type="paragraph" w:styleId="List">
    <w:name w:val="List"/>
    <w:basedOn w:val="BodyText"/>
    <w:qFormat/>
    <w:pPr>
      <w:ind w:left="360" w:hanging="360"/>
    </w:pPr>
  </w:style>
  <w:style w:type="paragraph" w:styleId="ListBullet">
    <w:name w:val="List Bullet"/>
    <w:basedOn w:val="List"/>
    <w:qFormat/>
    <w:pPr>
      <w:numPr>
        <w:numId w:val="1"/>
      </w:numPr>
    </w:pPr>
  </w:style>
  <w:style w:type="paragraph" w:styleId="ListNumber">
    <w:name w:val="List Number"/>
    <w:basedOn w:val="BodyText"/>
    <w:qFormat/>
    <w:pPr>
      <w:numPr>
        <w:numId w:val="2"/>
      </w:numPr>
    </w:pPr>
  </w:style>
  <w:style w:type="paragraph" w:styleId="Salutation">
    <w:name w:val="Salutation"/>
    <w:basedOn w:val="Normal"/>
    <w:next w:val="SubjectLine"/>
    <w:qFormat/>
    <w:pPr>
      <w:spacing w:before="220" w:after="220" w:line="220" w:lineRule="atLeast"/>
      <w:jc w:val="left"/>
    </w:pPr>
  </w:style>
  <w:style w:type="paragraph" w:customStyle="1" w:styleId="SubjectLine">
    <w:name w:val="Subject Line"/>
    <w:basedOn w:val="Normal"/>
    <w:next w:val="BodyText"/>
    <w:qFormat/>
    <w:pPr>
      <w:spacing w:after="220" w:line="220" w:lineRule="atLeast"/>
      <w:jc w:val="left"/>
    </w:pPr>
    <w:rPr>
      <w:rFonts w:ascii="Arial Black" w:hAnsi="Arial Black"/>
      <w:spacing w:val="-10"/>
    </w:rPr>
  </w:style>
  <w:style w:type="paragraph" w:customStyle="1" w:styleId="AttentionLine">
    <w:name w:val="Attention Line"/>
    <w:basedOn w:val="Normal"/>
    <w:next w:val="Salutation"/>
    <w:qFormat/>
    <w:pPr>
      <w:spacing w:before="220" w:after="220" w:line="220" w:lineRule="atLeast"/>
    </w:pPr>
  </w:style>
  <w:style w:type="paragraph" w:customStyle="1" w:styleId="CompanyName">
    <w:name w:val="Company Name"/>
    <w:basedOn w:val="Normal"/>
    <w:qFormat/>
    <w:pPr>
      <w:framePr w:w="3845" w:h="1584" w:hSpace="187" w:vSpace="187" w:wrap="notBeside" w:vAnchor="page" w:hAnchor="margin" w:y="894" w:anchorLock="1"/>
      <w:spacing w:line="280" w:lineRule="atLeast"/>
    </w:pPr>
    <w:rPr>
      <w:rFonts w:ascii="Arial Black" w:hAnsi="Arial Black"/>
      <w:spacing w:val="-25"/>
      <w:sz w:val="32"/>
    </w:rPr>
  </w:style>
  <w:style w:type="paragraph" w:customStyle="1" w:styleId="MailingInstructions">
    <w:name w:val="Mailing Instructions"/>
    <w:basedOn w:val="Normal"/>
    <w:next w:val="InsideAddressName"/>
    <w:qFormat/>
    <w:pPr>
      <w:spacing w:after="220" w:line="220" w:lineRule="atLeast"/>
    </w:pPr>
    <w:rPr>
      <w:caps/>
    </w:rPr>
  </w:style>
  <w:style w:type="paragraph" w:customStyle="1" w:styleId="ReferenceLine">
    <w:name w:val="Reference Line"/>
    <w:basedOn w:val="Normal"/>
    <w:next w:val="MailingInstructions"/>
    <w:qFormat/>
    <w:pPr>
      <w:spacing w:after="220" w:line="220" w:lineRule="atLeast"/>
      <w:jc w:val="left"/>
    </w:pPr>
  </w:style>
  <w:style w:type="paragraph" w:customStyle="1" w:styleId="ReturnAddress">
    <w:name w:val="Return Address"/>
    <w:basedOn w:val="Normal"/>
    <w:qFormat/>
    <w:pPr>
      <w:keepLines/>
      <w:framePr w:w="4320" w:h="965" w:hSpace="187" w:vSpace="187" w:wrap="notBeside" w:vAnchor="page" w:hAnchor="margin" w:xAlign="right" w:y="966" w:anchorLock="1"/>
      <w:tabs>
        <w:tab w:val="left" w:pos="2160"/>
      </w:tabs>
      <w:spacing w:line="160" w:lineRule="atLeast"/>
      <w:jc w:val="left"/>
    </w:pPr>
    <w:rPr>
      <w:spacing w:val="0"/>
      <w:sz w:val="14"/>
    </w:rPr>
  </w:style>
  <w:style w:type="character" w:customStyle="1" w:styleId="Slogan">
    <w:name w:val="Slogan"/>
    <w:qFormat/>
    <w:rPr>
      <w:rFonts w:ascii="Arial Black" w:hAnsi="Arial Black"/>
      <w:sz w:val="18"/>
    </w:rPr>
  </w:style>
  <w:style w:type="paragraph" w:styleId="ListParagraph">
    <w:name w:val="List Paragraph"/>
    <w:basedOn w:val="Normal"/>
    <w:uiPriority w:val="34"/>
    <w:qFormat/>
    <w:pPr>
      <w:ind w:left="720"/>
    </w:pPr>
  </w:style>
  <w:style w:type="paragraph" w:customStyle="1" w:styleId="BasicParagraph">
    <w:name w:val="[Basic Paragraph]"/>
    <w:basedOn w:val="NoParagraphStyle"/>
    <w:qFormat/>
  </w:style>
  <w:style w:type="paragraph" w:customStyle="1" w:styleId="NoParagraphStyle">
    <w:name w:val="[No Paragraph Style]"/>
    <w:qFormat/>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eastAsia="en-US" w:bidi="en-US"/>
    </w:rPr>
  </w:style>
  <w:style w:type="paragraph" w:customStyle="1" w:styleId="Head1">
    <w:name w:val="Head 1"/>
    <w:basedOn w:val="Normal"/>
    <w:link w:val="Head1Char"/>
    <w:qFormat/>
    <w:pPr>
      <w:widowControl w:val="0"/>
      <w:numPr>
        <w:numId w:val="3"/>
      </w:numPr>
      <w:tabs>
        <w:tab w:val="clear" w:pos="1288"/>
        <w:tab w:val="left" w:pos="862"/>
      </w:tabs>
      <w:suppressAutoHyphens/>
      <w:autoSpaceDE w:val="0"/>
      <w:autoSpaceDN w:val="0"/>
      <w:adjustRightInd w:val="0"/>
      <w:spacing w:line="288" w:lineRule="auto"/>
      <w:ind w:left="862"/>
      <w:jc w:val="left"/>
      <w:textAlignment w:val="center"/>
    </w:pPr>
    <w:rPr>
      <w:rFonts w:cs="Arial"/>
      <w:b/>
      <w:color w:val="000000"/>
      <w:spacing w:val="0"/>
      <w:sz w:val="40"/>
      <w:szCs w:val="40"/>
      <w:lang w:bidi="en-US"/>
    </w:rPr>
  </w:style>
  <w:style w:type="character" w:customStyle="1" w:styleId="Head1Char">
    <w:name w:val="Head 1 Char"/>
    <w:link w:val="Head1"/>
    <w:qFormat/>
    <w:rPr>
      <w:rFonts w:ascii="Arial" w:hAnsi="Arial" w:cs="Arial"/>
      <w:b/>
      <w:color w:val="000000"/>
      <w:sz w:val="40"/>
      <w:szCs w:val="40"/>
      <w:lang w:eastAsia="en-US" w:bidi="en-US"/>
    </w:rPr>
  </w:style>
  <w:style w:type="paragraph" w:styleId="NoSpacing">
    <w:name w:val="No Spacing"/>
    <w:uiPriority w:val="1"/>
    <w:qFormat/>
    <w:pPr>
      <w:jc w:val="both"/>
    </w:pPr>
    <w:rPr>
      <w:rFonts w:ascii="Arial" w:eastAsia="Times New Roman" w:hAnsi="Arial"/>
      <w:spacing w:val="-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ckfortonparishcler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Professional%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Professional Letter</Template>
  <TotalTime>0</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Mr P.J. Faulkner</vt:lpstr>
    </vt:vector>
  </TitlesOfParts>
  <Company>Hewlett-Packard</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P.J. Faulkner</dc:title>
  <dc:creator>A.H.KIRKHAM</dc:creator>
  <cp:lastModifiedBy>Clerk Peckforton</cp:lastModifiedBy>
  <cp:revision>8</cp:revision>
  <cp:lastPrinted>2020-05-20T18:26:00Z</cp:lastPrinted>
  <dcterms:created xsi:type="dcterms:W3CDTF">2026-02-28T09:10:00Z</dcterms:created>
  <dcterms:modified xsi:type="dcterms:W3CDTF">2026-03-04T07:41:00Z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2057-12.2.0.18911</vt:lpwstr>
  </property>
  <property fmtid="{D5CDD505-2E9C-101B-9397-08002B2CF9AE}" pid="3" name="ICV">
    <vt:lpwstr>6A97EFD064924CC28B6711334E00FEB2_13</vt:lpwstr>
  </property>
</Properties>
</file>